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360"/>
        <w:jc w:val="center"/>
        <w:rPr>
          <w:b/>
          <w:b/>
          <w:bCs/>
          <w:spacing w:val="10"/>
          <w:sz w:val="28"/>
          <w:szCs w:val="28"/>
        </w:rPr>
      </w:pPr>
      <w:r>
        <w:rPr>
          <w:b/>
          <w:bCs/>
          <w:spacing w:val="10"/>
          <w:sz w:val="28"/>
          <w:szCs w:val="28"/>
        </w:rPr>
        <w:t>МИНИСТЕРСТВО НА ЗЕМЕДЕЛИЕТО, ХРАНИТЕ И ГОРИТЕ</w:t>
      </w:r>
    </w:p>
    <w:p>
      <w:pPr>
        <w:pStyle w:val="Normal"/>
        <w:widowControl w:val="false"/>
        <w:spacing w:lineRule="auto" w:line="360"/>
        <w:ind w:firstLine="480"/>
        <w:jc w:val="right"/>
        <w:rPr>
          <w:bCs/>
        </w:rPr>
      </w:pPr>
      <w:r>
        <w:rPr>
          <w:bCs/>
        </w:rPr>
        <w:t>Проект</w:t>
      </w:r>
    </w:p>
    <w:p>
      <w:pPr>
        <w:pStyle w:val="Normal"/>
        <w:widowControl w:val="false"/>
        <w:spacing w:lineRule="auto" w:line="360"/>
        <w:ind w:firstLine="480"/>
        <w:jc w:val="right"/>
        <w:rPr>
          <w:bCs/>
        </w:rPr>
      </w:pPr>
      <w:r>
        <w:rPr>
          <w:bCs/>
        </w:rPr>
      </w:r>
    </w:p>
    <w:p>
      <w:pPr>
        <w:pStyle w:val="Normal"/>
        <w:widowControl w:val="false"/>
        <w:spacing w:lineRule="auto" w:line="360"/>
        <w:ind w:firstLine="480"/>
        <w:jc w:val="right"/>
        <w:rPr>
          <w:bCs/>
        </w:rPr>
      </w:pPr>
      <w:r>
        <w:rPr>
          <w:bCs/>
        </w:rPr>
      </w:r>
    </w:p>
    <w:p>
      <w:pPr>
        <w:pStyle w:val="Normal"/>
        <w:widowControl w:val="false"/>
        <w:spacing w:lineRule="auto" w:line="360"/>
        <w:jc w:val="center"/>
        <w:rPr>
          <w:b/>
          <w:b/>
          <w:bCs/>
          <w:sz w:val="28"/>
          <w:szCs w:val="28"/>
        </w:rPr>
      </w:pPr>
      <w:r>
        <w:rPr>
          <w:b/>
          <w:bCs/>
          <w:sz w:val="28"/>
          <w:szCs w:val="28"/>
        </w:rPr>
        <w:t>НАРЕДБА № ………</w:t>
      </w:r>
    </w:p>
    <w:p>
      <w:pPr>
        <w:pStyle w:val="Normal"/>
        <w:widowControl w:val="false"/>
        <w:spacing w:lineRule="auto" w:line="360"/>
        <w:jc w:val="center"/>
        <w:rPr>
          <w:b/>
          <w:b/>
          <w:bCs/>
          <w:sz w:val="28"/>
          <w:szCs w:val="28"/>
        </w:rPr>
      </w:pPr>
      <w:r>
        <w:rPr>
          <w:b/>
          <w:bCs/>
          <w:sz w:val="28"/>
          <w:szCs w:val="28"/>
        </w:rPr>
        <w:t>от ………………………… г.</w:t>
      </w:r>
    </w:p>
    <w:p>
      <w:pPr>
        <w:pStyle w:val="Normal"/>
        <w:spacing w:lineRule="auto" w:line="360"/>
        <w:jc w:val="center"/>
        <w:rPr>
          <w:b/>
          <w:b/>
        </w:rPr>
      </w:pPr>
      <w:r>
        <w:rPr>
          <w:b/>
        </w:rPr>
        <w:t>за подготовка и представяне на искания до Европейската комисия относно земеделските продукти и храни със защитени географски означения и традиционно специфичен характер, за контрол за съответствие с продуктовата спецификация и за водене на регистри на производителите и контролиращите лица</w:t>
      </w:r>
    </w:p>
    <w:p>
      <w:pPr>
        <w:pStyle w:val="Normal"/>
        <w:widowControl w:val="false"/>
        <w:spacing w:lineRule="auto" w:line="360" w:before="240" w:after="0"/>
        <w:jc w:val="center"/>
        <w:rPr>
          <w:rFonts w:eastAsia="Times New Roman"/>
          <w:bCs/>
          <w:spacing w:val="100"/>
          <w:lang w:eastAsia="en-US"/>
        </w:rPr>
      </w:pPr>
      <w:r>
        <w:rPr>
          <w:bCs/>
          <w:spacing w:val="100"/>
          <w:lang w:eastAsia="en-US"/>
        </w:rPr>
        <w:t>Глава първа</w:t>
      </w:r>
    </w:p>
    <w:p>
      <w:pPr>
        <w:pStyle w:val="Normal"/>
        <w:widowControl w:val="false"/>
        <w:spacing w:lineRule="auto" w:line="360"/>
        <w:jc w:val="center"/>
        <w:rPr>
          <w:rFonts w:eastAsia="Times New Roman"/>
          <w:bCs/>
          <w:lang w:eastAsia="en-US"/>
        </w:rPr>
      </w:pPr>
      <w:r>
        <w:rPr>
          <w:bCs/>
          <w:lang w:eastAsia="en-US"/>
        </w:rPr>
        <w:t>ОБЩИ ПОЛОЖЕНИЯ</w:t>
      </w:r>
    </w:p>
    <w:p>
      <w:pPr>
        <w:pStyle w:val="Normal"/>
        <w:widowControl w:val="false"/>
        <w:spacing w:lineRule="auto" w:line="360" w:before="120" w:after="0"/>
        <w:ind w:firstLine="720"/>
        <w:jc w:val="both"/>
        <w:rPr>
          <w:rFonts w:eastAsia="Times New Roman"/>
          <w:lang w:eastAsia="en-US"/>
        </w:rPr>
      </w:pPr>
      <w:r>
        <w:rPr>
          <w:b/>
          <w:bCs/>
          <w:lang w:eastAsia="en-US"/>
        </w:rPr>
        <w:t>Чл. 1.</w:t>
      </w:r>
      <w:r>
        <w:rPr>
          <w:lang w:eastAsia="en-US"/>
        </w:rPr>
        <w:t xml:space="preserve"> С тази наредба се уреждат:</w:t>
      </w:r>
    </w:p>
    <w:p>
      <w:pPr>
        <w:pStyle w:val="Normal"/>
        <w:widowControl w:val="false"/>
        <w:spacing w:lineRule="auto" w:line="360"/>
        <w:ind w:firstLine="720"/>
        <w:jc w:val="both"/>
        <w:rPr>
          <w:rFonts w:eastAsia="Times New Roman"/>
          <w:lang w:eastAsia="en-US"/>
        </w:rPr>
      </w:pPr>
      <w:r>
        <w:rPr>
          <w:lang w:eastAsia="en-US"/>
        </w:rPr>
        <w:t>1. съставът и функциите на Постоянната междуведомствена консултативна комисия по географски означения и храни с традиционно специфичен характер;</w:t>
      </w:r>
    </w:p>
    <w:p>
      <w:pPr>
        <w:pStyle w:val="Normal"/>
        <w:widowControl w:val="false"/>
        <w:spacing w:lineRule="auto" w:line="360"/>
        <w:ind w:firstLine="720"/>
        <w:jc w:val="both"/>
        <w:rPr>
          <w:rFonts w:eastAsia="Times New Roman"/>
          <w:lang w:eastAsia="en-US"/>
        </w:rPr>
      </w:pPr>
      <w:r>
        <w:rPr>
          <w:lang w:eastAsia="en-US"/>
        </w:rPr>
        <w:t>2. условията и редът за:</w:t>
      </w:r>
    </w:p>
    <w:p>
      <w:pPr>
        <w:pStyle w:val="Normal"/>
        <w:widowControl w:val="false"/>
        <w:spacing w:lineRule="auto" w:line="360"/>
        <w:ind w:firstLine="720"/>
        <w:jc w:val="both"/>
        <w:rPr>
          <w:rFonts w:eastAsia="Times New Roman"/>
          <w:lang w:eastAsia="en-US"/>
        </w:rPr>
      </w:pPr>
      <w:r>
        <w:rPr>
          <w:lang w:eastAsia="en-US"/>
        </w:rPr>
        <w:t>a) подготовка и представяне на искания до Европейската комисия за вписване, изменение, възражение и заличаване на вписване в Европейския регистър на защитените наименования за произход и защитените географски указания;</w:t>
      </w:r>
    </w:p>
    <w:p>
      <w:pPr>
        <w:pStyle w:val="Normal"/>
        <w:widowControl w:val="false"/>
        <w:spacing w:lineRule="auto" w:line="360"/>
        <w:ind w:firstLine="720"/>
        <w:jc w:val="both"/>
        <w:rPr>
          <w:rFonts w:eastAsia="Times New Roman"/>
          <w:lang w:eastAsia="en-US"/>
        </w:rPr>
      </w:pPr>
      <w:r>
        <w:rPr>
          <w:lang w:eastAsia="en-US"/>
        </w:rPr>
        <w:t>б) подготовка и представяне на искания до Европейската комисия за вписване, изменение, възражение и заличаване на вписване в Европейския регистър на храните с традиционно специфичен характер;</w:t>
      </w:r>
    </w:p>
    <w:p>
      <w:pPr>
        <w:pStyle w:val="Normal"/>
        <w:widowControl w:val="false"/>
        <w:spacing w:lineRule="auto" w:line="360"/>
        <w:ind w:firstLine="720"/>
        <w:jc w:val="both"/>
        <w:rPr>
          <w:rFonts w:eastAsia="Times New Roman"/>
          <w:lang w:eastAsia="en-US"/>
        </w:rPr>
      </w:pPr>
      <w:r>
        <w:rPr>
          <w:lang w:eastAsia="en-US"/>
        </w:rPr>
        <w:t>в) предоставяне на временна национална защита на наименованията, чиито заявления спецификации са изпратени в Европейската комисия;</w:t>
      </w:r>
    </w:p>
    <w:p>
      <w:pPr>
        <w:pStyle w:val="Normal"/>
        <w:spacing w:lineRule="auto" w:line="360"/>
        <w:ind w:firstLine="720"/>
        <w:jc w:val="both"/>
        <w:textAlignment w:val="center"/>
        <w:rPr>
          <w:color w:val="000000"/>
          <w:lang w:eastAsia="bg-BG"/>
        </w:rPr>
      </w:pPr>
      <w:r>
        <w:rPr>
          <w:color w:val="000000"/>
          <w:lang w:eastAsia="bg-BG"/>
        </w:rPr>
        <w:t xml:space="preserve">г) издаване на разрешение за контрол за съответствие на земеделските продукти и на храните с традиционно специфичен характер или защитено географско означение със спецификацията на продукта или храната, издаване на временно разрешение, както и за надзор върху контролиращите лица; </w:t>
      </w:r>
    </w:p>
    <w:p>
      <w:pPr>
        <w:pStyle w:val="Normal"/>
        <w:spacing w:lineRule="auto" w:line="360"/>
        <w:ind w:firstLine="720"/>
        <w:jc w:val="both"/>
        <w:textAlignment w:val="center"/>
        <w:rPr>
          <w:rFonts w:eastAsia="Times New Roman"/>
          <w:color w:val="000000"/>
          <w:lang w:eastAsia="bg-BG"/>
        </w:rPr>
      </w:pPr>
      <w:r>
        <w:rPr>
          <w:color w:val="000000"/>
          <w:lang w:eastAsia="bg-BG"/>
        </w:rPr>
        <w:t>д) осъществяване на контрол за съответствие на земеделските продукти и на храните с географски означения и с традиционно специфичен характер с тяхната спецификация;</w:t>
      </w:r>
    </w:p>
    <w:p>
      <w:pPr>
        <w:pStyle w:val="Normal"/>
        <w:spacing w:lineRule="auto" w:line="360"/>
        <w:ind w:firstLine="720"/>
        <w:jc w:val="both"/>
        <w:textAlignment w:val="center"/>
        <w:rPr>
          <w:rFonts w:eastAsia="Times New Roman"/>
          <w:color w:val="000000"/>
          <w:lang w:eastAsia="bg-BG"/>
        </w:rPr>
      </w:pPr>
      <w:r>
        <w:rPr>
          <w:color w:val="000000"/>
          <w:lang w:eastAsia="bg-BG"/>
        </w:rPr>
        <w:t>е) водене на регистъра на производителите на земеделски продукти и храни с географски означения, производителите на земеделски продукти и храни с традиционно специфичен характер, лицата, които осъществяват контрол за съответствие на продуктите и храните с географски означения и с традиционно специфичен характер.</w:t>
      </w:r>
    </w:p>
    <w:p>
      <w:pPr>
        <w:pStyle w:val="Normal"/>
        <w:widowControl w:val="false"/>
        <w:spacing w:lineRule="auto" w:line="360"/>
        <w:ind w:firstLine="720"/>
        <w:jc w:val="both"/>
        <w:rPr>
          <w:rFonts w:eastAsia="Times New Roman"/>
          <w:lang w:eastAsia="en-US"/>
        </w:rPr>
      </w:pPr>
      <w:r>
        <w:rPr>
          <w:rFonts w:eastAsia="Times New Roman"/>
          <w:lang w:eastAsia="en-US"/>
        </w:rPr>
      </w:r>
    </w:p>
    <w:p>
      <w:pPr>
        <w:pStyle w:val="Normal"/>
        <w:widowControl w:val="false"/>
        <w:spacing w:lineRule="auto" w:line="360" w:before="240" w:after="0"/>
        <w:jc w:val="center"/>
        <w:rPr>
          <w:rFonts w:eastAsia="Times New Roman"/>
          <w:bCs/>
          <w:spacing w:val="100"/>
          <w:lang w:eastAsia="en-US"/>
        </w:rPr>
      </w:pPr>
      <w:r>
        <w:rPr>
          <w:bCs/>
          <w:spacing w:val="100"/>
          <w:lang w:eastAsia="en-US"/>
        </w:rPr>
        <w:t>Глава втора</w:t>
      </w:r>
    </w:p>
    <w:p>
      <w:pPr>
        <w:pStyle w:val="Normal"/>
        <w:widowControl w:val="false"/>
        <w:spacing w:lineRule="auto" w:line="360"/>
        <w:jc w:val="center"/>
        <w:rPr>
          <w:rFonts w:eastAsia="Times New Roman"/>
          <w:bCs/>
          <w:lang w:eastAsia="en-US"/>
        </w:rPr>
      </w:pPr>
      <w:r>
        <w:rPr>
          <w:bCs/>
          <w:lang w:eastAsia="en-US"/>
        </w:rPr>
        <w:t>СЪСТАВ И ФУНКЦИИ НА ПОСТОЯННАТА МЕЖДУВЕДОМСТВЕНА КОНСУЛТАТИВНА КОМИСИЯ</w:t>
      </w:r>
      <w:r>
        <w:rPr>
          <w:rFonts w:eastAsia="Times New Roman"/>
          <w:bCs/>
          <w:lang w:eastAsia="en-US"/>
        </w:rPr>
        <w:t xml:space="preserve"> </w:t>
      </w:r>
      <w:r>
        <w:rPr>
          <w:bCs/>
          <w:lang w:eastAsia="en-US"/>
        </w:rPr>
        <w:t>ПО ГЕОГРАФСКИ ОЗНАЧЕНИЯ И ХРАНИ С ТРАДИЦИОННО СПЕЦИФИЧЕН ХАРАКТЕР</w:t>
      </w:r>
    </w:p>
    <w:p>
      <w:pPr>
        <w:pStyle w:val="Normal"/>
        <w:widowControl w:val="false"/>
        <w:spacing w:lineRule="auto" w:line="360" w:before="120" w:after="0"/>
        <w:ind w:firstLine="720"/>
        <w:jc w:val="both"/>
        <w:rPr>
          <w:rFonts w:eastAsia="Times New Roman"/>
          <w:lang w:eastAsia="en-US"/>
        </w:rPr>
      </w:pPr>
      <w:r>
        <w:rPr>
          <w:b/>
          <w:bCs/>
          <w:lang w:eastAsia="en-US"/>
        </w:rPr>
        <w:t>Чл. 2.</w:t>
      </w:r>
      <w:r>
        <w:rPr>
          <w:lang w:eastAsia="en-US"/>
        </w:rPr>
        <w:t xml:space="preserve"> (1) В Постоянната междуведомствена консултативна комисия по географски означения и храни с традиционно специфичен характер, наричана по-нататък „Комисията”, се включват представители на Министерство на земеделието, храните и горите, наричано по-нататък „МЗХГ“, Министерство на здравеопазването, Министерство на икономиката, Патентно ведомство и Българската агенция по безопасност на храните.</w:t>
      </w:r>
    </w:p>
    <w:p>
      <w:pPr>
        <w:pStyle w:val="Normal"/>
        <w:widowControl w:val="false"/>
        <w:spacing w:lineRule="auto" w:line="360"/>
        <w:ind w:firstLine="720"/>
        <w:jc w:val="both"/>
        <w:rPr>
          <w:rFonts w:eastAsia="Times New Roman"/>
          <w:lang w:eastAsia="en-US"/>
        </w:rPr>
      </w:pPr>
      <w:r>
        <w:rPr>
          <w:lang w:eastAsia="en-US"/>
        </w:rPr>
        <w:t>(2) Членовете на комисията са официални представители на министерствата и ведомствата по ал. 1 и са длъжни да представят по служебен път информацията, необходима за изпълнение на дейността на комисията.</w:t>
      </w:r>
    </w:p>
    <w:p>
      <w:pPr>
        <w:pStyle w:val="Normal"/>
        <w:widowControl w:val="false"/>
        <w:spacing w:lineRule="auto" w:line="360" w:before="120" w:after="0"/>
        <w:ind w:firstLine="720"/>
        <w:jc w:val="both"/>
        <w:rPr>
          <w:rFonts w:eastAsia="Times New Roman"/>
          <w:lang w:eastAsia="en-US"/>
        </w:rPr>
      </w:pPr>
      <w:r>
        <w:rPr>
          <w:b/>
          <w:bCs/>
          <w:lang w:eastAsia="en-US"/>
        </w:rPr>
        <w:t>Чл. 3.</w:t>
      </w:r>
      <w:r>
        <w:rPr>
          <w:lang w:eastAsia="en-US"/>
        </w:rPr>
        <w:t xml:space="preserve"> (1) Съставът на комисията се определя със заповед на министъра на земеделието, храните и горите, по предложение на ръководителите на министерствата и ведомствата по чл. 2, ал. 1 или на упълномощени от тях лица.</w:t>
      </w:r>
    </w:p>
    <w:p>
      <w:pPr>
        <w:pStyle w:val="Normal"/>
        <w:widowControl w:val="false"/>
        <w:spacing w:lineRule="auto" w:line="360"/>
        <w:ind w:firstLine="720"/>
        <w:jc w:val="both"/>
        <w:rPr>
          <w:rFonts w:eastAsia="Times New Roman"/>
          <w:lang w:eastAsia="en-US"/>
        </w:rPr>
      </w:pPr>
      <w:r>
        <w:rPr>
          <w:lang w:eastAsia="en-US"/>
        </w:rPr>
        <w:t>(2) За участие в заседанията на комисията могат да се канят представители на неправителствени организации, които дават становище по отделни точки от дневния ред.</w:t>
      </w:r>
    </w:p>
    <w:p>
      <w:pPr>
        <w:pStyle w:val="Normal"/>
        <w:widowControl w:val="false"/>
        <w:spacing w:lineRule="auto" w:line="360"/>
        <w:ind w:firstLine="720"/>
        <w:jc w:val="both"/>
        <w:rPr>
          <w:lang w:eastAsia="en-US"/>
        </w:rPr>
      </w:pPr>
      <w:r>
        <w:rPr>
          <w:lang w:eastAsia="en-US"/>
        </w:rPr>
        <w:t>(3) Министърът на земеделието, храните и горите</w:t>
      </w:r>
      <w:r>
        <w:rPr>
          <w:rFonts w:eastAsia="Times New Roman"/>
          <w:lang w:eastAsia="en-US"/>
        </w:rPr>
        <w:t xml:space="preserve"> със заповед </w:t>
      </w:r>
      <w:r>
        <w:rPr>
          <w:lang w:eastAsia="en-US"/>
        </w:rPr>
        <w:t>утвърждава правила за работа на комисията.</w:t>
      </w:r>
    </w:p>
    <w:p>
      <w:pPr>
        <w:pStyle w:val="Normal"/>
        <w:widowControl w:val="false"/>
        <w:spacing w:lineRule="auto" w:line="360" w:before="120" w:after="0"/>
        <w:ind w:firstLine="720"/>
        <w:jc w:val="both"/>
        <w:rPr>
          <w:rFonts w:eastAsia="Times New Roman"/>
          <w:lang w:eastAsia="en-US"/>
        </w:rPr>
      </w:pPr>
      <w:r>
        <w:rPr>
          <w:b/>
          <w:bCs/>
          <w:lang w:eastAsia="en-US"/>
        </w:rPr>
        <w:t>Чл. 4.</w:t>
      </w:r>
      <w:r>
        <w:rPr>
          <w:lang w:eastAsia="en-US"/>
        </w:rPr>
        <w:t xml:space="preserve"> (1) Комисията:</w:t>
      </w:r>
    </w:p>
    <w:p>
      <w:pPr>
        <w:pStyle w:val="Normal"/>
        <w:widowControl w:val="false"/>
        <w:spacing w:lineRule="auto" w:line="360"/>
        <w:ind w:firstLine="720"/>
        <w:jc w:val="both"/>
        <w:rPr>
          <w:rFonts w:eastAsia="Times New Roman"/>
          <w:lang w:eastAsia="en-US"/>
        </w:rPr>
      </w:pPr>
      <w:r>
        <w:rPr>
          <w:lang w:eastAsia="en-US"/>
        </w:rPr>
        <w:t>1. разглежда исканията до Европейската комисия за вписване, изменение, възражение и заличаване на вписване в Европейския регистър на защитените наименования за произход и защитените географски указания, свързани с този регистър, и предлага на министъра на земеделието, храните и горите становище за одобрение или за мотивиран отказ;</w:t>
      </w:r>
    </w:p>
    <w:p>
      <w:pPr>
        <w:pStyle w:val="Normal"/>
        <w:widowControl w:val="false"/>
        <w:spacing w:lineRule="auto" w:line="360"/>
        <w:ind w:firstLine="720"/>
        <w:jc w:val="both"/>
        <w:rPr>
          <w:lang w:eastAsia="en-US"/>
        </w:rPr>
      </w:pPr>
      <w:r>
        <w:rPr>
          <w:lang w:eastAsia="en-US"/>
        </w:rPr>
        <w:t>2. разглежда исканията до Европейската комисия за вписване, изменение, възражение и заличаване на вписване в Европейския регистър на храните с традиционно специфичен характер и предлага на министъра на земеделието, храните и горите становище за одобрение или за мотивиран отказ;</w:t>
      </w:r>
    </w:p>
    <w:p>
      <w:pPr>
        <w:pStyle w:val="Normal"/>
        <w:widowControl w:val="false"/>
        <w:spacing w:lineRule="auto" w:line="360"/>
        <w:ind w:firstLine="720"/>
        <w:jc w:val="both"/>
        <w:rPr>
          <w:rFonts w:eastAsia="Times New Roman"/>
          <w:lang w:eastAsia="en-US"/>
        </w:rPr>
      </w:pPr>
      <w:r>
        <w:rPr>
          <w:lang w:eastAsia="en-US"/>
        </w:rPr>
        <w:t>3. разглежда заявления за вписване в регистъра на производителите на земеделски продукти и храни с географски означения и производителите на земеделски продукти и храни с традиционно специфичен характер;</w:t>
      </w:r>
    </w:p>
    <w:p>
      <w:pPr>
        <w:pStyle w:val="Normal"/>
        <w:widowControl w:val="false"/>
        <w:spacing w:lineRule="auto" w:line="360"/>
        <w:ind w:firstLine="720"/>
        <w:jc w:val="both"/>
        <w:rPr>
          <w:lang w:eastAsia="en-US"/>
        </w:rPr>
      </w:pPr>
      <w:r>
        <w:rPr>
          <w:lang w:eastAsia="en-US"/>
        </w:rPr>
        <w:t>4. разглежда заявления за предоставяне на разрешение на контролиращите лица и предлага на министъра на земеделието, храните и горите</w:t>
      </w:r>
      <w:r>
        <w:rPr>
          <w:rFonts w:eastAsia="Times New Roman"/>
          <w:lang w:eastAsia="en-US"/>
        </w:rPr>
        <w:t xml:space="preserve"> </w:t>
      </w:r>
      <w:r>
        <w:rPr>
          <w:lang w:eastAsia="en-US"/>
        </w:rPr>
        <w:t>становище</w:t>
      </w:r>
      <w:r>
        <w:rPr>
          <w:rFonts w:eastAsia="Times New Roman"/>
          <w:lang w:eastAsia="en-US"/>
        </w:rPr>
        <w:t xml:space="preserve"> </w:t>
      </w:r>
      <w:r>
        <w:rPr>
          <w:lang w:eastAsia="en-US"/>
        </w:rPr>
        <w:t>за предоставяне на разрешение или за мотивиран отказ;</w:t>
      </w:r>
    </w:p>
    <w:p>
      <w:pPr>
        <w:pStyle w:val="Normal"/>
        <w:widowControl w:val="false"/>
        <w:spacing w:lineRule="auto" w:line="360"/>
        <w:ind w:firstLine="720"/>
        <w:jc w:val="both"/>
        <w:rPr>
          <w:rFonts w:eastAsia="Times New Roman"/>
          <w:lang w:eastAsia="en-US"/>
        </w:rPr>
      </w:pPr>
      <w:r>
        <w:rPr>
          <w:rFonts w:eastAsia="Times New Roman"/>
          <w:lang w:eastAsia="en-US"/>
        </w:rPr>
        <w:t>5. разглежда заявления за предоставяне на временно разрешение на контролиращите лица и предлага на министъра на земеделието, храните и горите становище за предоставяне на разрешение или за мотивиран отказ;</w:t>
      </w:r>
    </w:p>
    <w:p>
      <w:pPr>
        <w:pStyle w:val="Normal"/>
        <w:widowControl w:val="false"/>
        <w:spacing w:lineRule="auto" w:line="360"/>
        <w:ind w:firstLine="720"/>
        <w:jc w:val="both"/>
        <w:rPr>
          <w:rFonts w:eastAsia="Times New Roman"/>
          <w:lang w:eastAsia="en-US"/>
        </w:rPr>
      </w:pPr>
      <w:r>
        <w:rPr>
          <w:lang w:eastAsia="en-US"/>
        </w:rPr>
        <w:t>6. разглежда заявления за предоставяне на временна национална защита на наименованията, чиито заявления спецификации са изпратени в Европейската комисия.</w:t>
      </w:r>
    </w:p>
    <w:p>
      <w:pPr>
        <w:pStyle w:val="Normal"/>
        <w:widowControl w:val="false"/>
        <w:spacing w:lineRule="auto" w:line="360"/>
        <w:ind w:firstLine="720"/>
        <w:jc w:val="both"/>
        <w:rPr>
          <w:rFonts w:eastAsia="Times New Roman"/>
          <w:lang w:eastAsia="en-US"/>
        </w:rPr>
      </w:pPr>
      <w:r>
        <w:rPr>
          <w:lang w:eastAsia="en-US"/>
        </w:rPr>
        <w:t>(2) Комисията разглежда исканията и заявленията по ал. 1 на заседание или неприсъствено чрез изготвяне на писмено становище от всеки от нейните членове. Писменото становище може да се изпрати и по електронен път.</w:t>
      </w:r>
    </w:p>
    <w:p>
      <w:pPr>
        <w:pStyle w:val="Normal"/>
        <w:widowControl w:val="false"/>
        <w:spacing w:lineRule="auto" w:line="360"/>
        <w:ind w:firstLine="720"/>
        <w:jc w:val="both"/>
        <w:rPr>
          <w:rFonts w:eastAsia="Times New Roman"/>
          <w:lang w:eastAsia="en-US"/>
        </w:rPr>
      </w:pPr>
      <w:r>
        <w:rPr>
          <w:rFonts w:eastAsia="Times New Roman"/>
          <w:bCs/>
          <w:lang w:eastAsia="en-US"/>
        </w:rPr>
        <w:t>(3)</w:t>
      </w:r>
      <w:r>
        <w:rPr>
          <w:rFonts w:eastAsia="Times New Roman"/>
          <w:b/>
          <w:bCs/>
          <w:lang w:eastAsia="en-US"/>
        </w:rPr>
        <w:t xml:space="preserve"> </w:t>
      </w:r>
      <w:r>
        <w:rPr>
          <w:lang w:eastAsia="en-US"/>
        </w:rPr>
        <w:t>При необходимост комисията изготвя доклад за дейността си и го представя на министъра на земеделието</w:t>
      </w:r>
      <w:r>
        <w:rPr>
          <w:rFonts w:eastAsia="Times New Roman"/>
          <w:lang w:eastAsia="en-US"/>
        </w:rPr>
        <w:t xml:space="preserve">, </w:t>
      </w:r>
      <w:r>
        <w:rPr>
          <w:lang w:eastAsia="en-US"/>
        </w:rPr>
        <w:t>храните и горите</w:t>
      </w:r>
      <w:r>
        <w:rPr>
          <w:rFonts w:eastAsia="Times New Roman"/>
          <w:lang w:eastAsia="en-US"/>
        </w:rPr>
        <w:t>.</w:t>
      </w:r>
    </w:p>
    <w:p>
      <w:pPr>
        <w:pStyle w:val="Normal"/>
        <w:widowControl w:val="false"/>
        <w:spacing w:lineRule="auto" w:line="360" w:before="240" w:after="0"/>
        <w:jc w:val="center"/>
        <w:rPr>
          <w:rFonts w:eastAsia="Times New Roman"/>
          <w:bCs/>
          <w:spacing w:val="100"/>
          <w:lang w:eastAsia="en-US"/>
        </w:rPr>
      </w:pPr>
      <w:r>
        <w:rPr>
          <w:bCs/>
          <w:spacing w:val="100"/>
          <w:lang w:eastAsia="en-US"/>
        </w:rPr>
        <w:t>Глава трета</w:t>
      </w:r>
    </w:p>
    <w:p>
      <w:pPr>
        <w:pStyle w:val="Normal"/>
        <w:widowControl w:val="false"/>
        <w:spacing w:lineRule="auto" w:line="360"/>
        <w:jc w:val="center"/>
        <w:rPr>
          <w:rFonts w:eastAsia="Times New Roman"/>
          <w:bCs/>
          <w:lang w:eastAsia="en-US"/>
        </w:rPr>
      </w:pPr>
      <w:r>
        <w:rPr>
          <w:bCs/>
          <w:lang w:eastAsia="en-US"/>
        </w:rPr>
        <w:t>УСЛОВИЯ ЗА ПРЕДСТАВЯНЕ НА ИСКАНИЯ ДО ЕВРОПЕЙСКАТА КОМИСИЯ</w:t>
      </w:r>
    </w:p>
    <w:p>
      <w:pPr>
        <w:pStyle w:val="Normal"/>
        <w:widowControl w:val="false"/>
        <w:spacing w:lineRule="auto" w:line="360" w:before="120" w:after="0"/>
        <w:ind w:firstLine="720"/>
        <w:jc w:val="both"/>
        <w:rPr>
          <w:rFonts w:eastAsia="Times New Roman"/>
          <w:lang w:eastAsia="en-US"/>
        </w:rPr>
      </w:pPr>
      <w:r>
        <w:rPr>
          <w:b/>
          <w:bCs/>
          <w:lang w:eastAsia="en-US"/>
        </w:rPr>
        <w:t>Чл. 5.</w:t>
      </w:r>
      <w:r>
        <w:rPr>
          <w:lang w:eastAsia="en-US"/>
        </w:rPr>
        <w:t xml:space="preserve"> (1) Заявление за вписване и изменение на вписване в Европейския регистър на защитените наименования за произход и защитените географски указания и Европейския регистър на храните с традиционно специфичен характер могат да подават групи от производители на земеделските продукти и храни.</w:t>
      </w:r>
    </w:p>
    <w:p>
      <w:pPr>
        <w:pStyle w:val="Normal"/>
        <w:widowControl w:val="false"/>
        <w:spacing w:lineRule="auto" w:line="360"/>
        <w:ind w:firstLine="720"/>
        <w:jc w:val="both"/>
        <w:rPr>
          <w:rFonts w:eastAsia="Times New Roman"/>
          <w:lang w:eastAsia="en-US"/>
        </w:rPr>
      </w:pPr>
      <w:r>
        <w:rPr>
          <w:lang w:eastAsia="en-US"/>
        </w:rPr>
        <w:t>(2) Индивидуални производители на земеделските продукти и храни могат да подават заявление за вписване и изменение на вписване в Европейския регистър на защитените наименования за произход и защитените географски указания и Европейския регистър на храните с традиционно специфичен характер само при спазване на условията на чл. 49 на Регламент № 1151/2012 на Европейския парламент и на Съвета от 21 ноември 2012 г. относно схемите за качество на селскостопанските продукти и храни (обн., ОВ, серия L, бр. 343 от 14.12.2012 г.), наричан по-нататък „Регламент № 1151/2012“.</w:t>
      </w:r>
    </w:p>
    <w:p>
      <w:pPr>
        <w:pStyle w:val="Normal"/>
        <w:widowControl w:val="false"/>
        <w:spacing w:lineRule="auto" w:line="360" w:before="120" w:after="0"/>
        <w:ind w:firstLine="720"/>
        <w:jc w:val="both"/>
        <w:rPr>
          <w:rFonts w:eastAsia="Times New Roman"/>
          <w:lang w:eastAsia="en-US"/>
        </w:rPr>
      </w:pPr>
      <w:r>
        <w:rPr>
          <w:b/>
          <w:bCs/>
          <w:lang w:eastAsia="en-US"/>
        </w:rPr>
        <w:t>Чл. 6.</w:t>
      </w:r>
      <w:r>
        <w:rPr>
          <w:lang w:eastAsia="en-US"/>
        </w:rPr>
        <w:t xml:space="preserve"> (1) Група от производители на земеделските продукти и храни по чл. 5, ал. 1 е дружество по Търговския закон (ТЗ) или Закона за задълженията и договорите (ЗЗД), кооперация по Закона за кооперациите (ЗК) или сдружение по Закона за юридическите лица с нестопанска цел (ЗЮЛНЦ). В групата от производители могат да членуват и други заинтересовани лица.</w:t>
      </w:r>
    </w:p>
    <w:p>
      <w:pPr>
        <w:pStyle w:val="Normal"/>
        <w:widowControl w:val="false"/>
        <w:spacing w:lineRule="auto" w:line="360"/>
        <w:ind w:firstLine="720"/>
        <w:jc w:val="both"/>
        <w:rPr>
          <w:rFonts w:eastAsia="Times New Roman"/>
          <w:lang w:eastAsia="en-US"/>
        </w:rPr>
      </w:pPr>
      <w:r>
        <w:rPr>
          <w:lang w:eastAsia="en-US"/>
        </w:rPr>
        <w:t>(2) Групата от производители не може да се учреди като еднолично търговско дружество.</w:t>
      </w:r>
    </w:p>
    <w:p>
      <w:pPr>
        <w:pStyle w:val="Normal"/>
        <w:widowControl w:val="false"/>
        <w:spacing w:lineRule="auto" w:line="360"/>
        <w:ind w:firstLine="720"/>
        <w:jc w:val="both"/>
        <w:rPr>
          <w:rFonts w:eastAsia="Times New Roman"/>
          <w:lang w:eastAsia="en-US"/>
        </w:rPr>
      </w:pPr>
      <w:r>
        <w:rPr>
          <w:lang w:eastAsia="en-US"/>
        </w:rPr>
        <w:t>(3) Групата от производители, която не е юридическо лице, подава заявлението за вписване или изменение на вписване чрез специално упълномощен представител. Пълномощното на представителя е с нотариално заверени подписи на упълномощителите.</w:t>
      </w:r>
    </w:p>
    <w:p>
      <w:pPr>
        <w:pStyle w:val="Normal"/>
        <w:widowControl w:val="false"/>
        <w:spacing w:lineRule="auto" w:line="360" w:before="240" w:after="0"/>
        <w:jc w:val="center"/>
        <w:rPr>
          <w:rFonts w:eastAsia="Times New Roman"/>
          <w:bCs/>
          <w:spacing w:val="100"/>
          <w:lang w:eastAsia="en-US"/>
        </w:rPr>
      </w:pPr>
      <w:r>
        <w:rPr>
          <w:bCs/>
          <w:spacing w:val="100"/>
          <w:lang w:eastAsia="en-US"/>
        </w:rPr>
        <w:t>Глава четвърта</w:t>
      </w:r>
    </w:p>
    <w:p>
      <w:pPr>
        <w:pStyle w:val="Normal"/>
        <w:widowControl w:val="false"/>
        <w:spacing w:lineRule="auto" w:line="360"/>
        <w:jc w:val="center"/>
        <w:rPr>
          <w:rFonts w:eastAsia="Times New Roman"/>
          <w:bCs/>
          <w:lang w:eastAsia="en-US"/>
        </w:rPr>
      </w:pPr>
      <w:r>
        <w:rPr>
          <w:bCs/>
          <w:lang w:eastAsia="en-US"/>
        </w:rPr>
        <w:t>РЕД ЗА ПОДГОТОВКА И ПРЕДСТАВЯНЕ НА ИСКАНИЯ ДО ЕВРОПЕЙСКАТА КОМИСИЯ ЗА ВПИСВАНЕ, ИЗМЕНЕНИЕ, ВЪЗРАЖЕНИЕ И ЗАЛИЧАВАНЕ НА ВПИСВАНЕ В</w:t>
      </w:r>
      <w:r>
        <w:rPr>
          <w:rFonts w:eastAsia="Times New Roman"/>
          <w:bCs/>
          <w:lang w:eastAsia="en-US"/>
        </w:rPr>
        <w:t xml:space="preserve"> </w:t>
      </w:r>
      <w:r>
        <w:rPr>
          <w:bCs/>
          <w:lang w:eastAsia="en-US"/>
        </w:rPr>
        <w:t>ЕВРОПЕЙСКИЯ РЕГИСТЪР НА ЗАЩИТЕНИТЕ НАИМЕНОВАНИЯ ЗА ПРОИЗХОД И ЗАЩИТЕНИТЕ ГЕОГРАФСКИ УКАЗАНИЯ И НА ДРУГИ ИСКАНИЯ, СВЪРЗАНИ С ТОЗИ РЕГИСТЪР</w:t>
      </w:r>
    </w:p>
    <w:p>
      <w:pPr>
        <w:pStyle w:val="Normal"/>
        <w:widowControl w:val="false"/>
        <w:spacing w:lineRule="auto" w:line="360" w:before="120" w:after="0"/>
        <w:jc w:val="center"/>
        <w:rPr>
          <w:rFonts w:eastAsia="Times New Roman"/>
          <w:bCs/>
          <w:lang w:eastAsia="en-US"/>
        </w:rPr>
      </w:pPr>
      <w:r>
        <w:rPr>
          <w:bCs/>
          <w:lang w:eastAsia="en-US"/>
        </w:rPr>
        <w:t>Раздел I</w:t>
      </w:r>
    </w:p>
    <w:p>
      <w:pPr>
        <w:pStyle w:val="Normal"/>
        <w:widowControl w:val="false"/>
        <w:spacing w:lineRule="auto" w:line="360"/>
        <w:jc w:val="center"/>
        <w:rPr>
          <w:rFonts w:eastAsia="Times New Roman"/>
          <w:b/>
          <w:b/>
          <w:bCs/>
          <w:lang w:eastAsia="en-US"/>
        </w:rPr>
      </w:pPr>
      <w:r>
        <w:rPr>
          <w:b/>
          <w:bCs/>
          <w:lang w:eastAsia="en-US"/>
        </w:rPr>
        <w:t>Ред за подготовка и представяне на искания до Европейската комисия за вписване в Европейския регистър на защитените наименования за произход и защитените географски указания</w:t>
      </w:r>
    </w:p>
    <w:p>
      <w:pPr>
        <w:pStyle w:val="Normal"/>
        <w:widowControl w:val="false"/>
        <w:spacing w:lineRule="auto" w:line="360" w:before="120" w:after="0"/>
        <w:ind w:firstLine="720"/>
        <w:jc w:val="both"/>
        <w:rPr>
          <w:rFonts w:eastAsia="Times New Roman"/>
          <w:lang w:eastAsia="en-US"/>
        </w:rPr>
      </w:pPr>
      <w:r>
        <w:rPr>
          <w:b/>
          <w:bCs/>
          <w:lang w:eastAsia="en-US"/>
        </w:rPr>
        <w:t>Чл. 7.</w:t>
      </w:r>
      <w:r>
        <w:rPr>
          <w:lang w:eastAsia="en-US"/>
        </w:rPr>
        <w:t xml:space="preserve"> (1) Групата от производители подава в МЗХГ заявление-спецификация съгласно приложение № 1;</w:t>
      </w:r>
    </w:p>
    <w:p>
      <w:pPr>
        <w:pStyle w:val="Normal"/>
        <w:widowControl w:val="false"/>
        <w:spacing w:lineRule="auto" w:line="360"/>
        <w:ind w:firstLine="720"/>
        <w:jc w:val="both"/>
        <w:rPr>
          <w:rFonts w:eastAsia="Times New Roman"/>
          <w:lang w:eastAsia="en-US"/>
        </w:rPr>
      </w:pPr>
      <w:r>
        <w:rPr>
          <w:lang w:eastAsia="en-US"/>
        </w:rPr>
        <w:t xml:space="preserve"> </w:t>
      </w:r>
      <w:r>
        <w:rPr>
          <w:color w:val="000000"/>
        </w:rPr>
        <w:t>(2) 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 и към него се прилагат:</w:t>
      </w:r>
    </w:p>
    <w:p>
      <w:pPr>
        <w:pStyle w:val="Normal"/>
        <w:widowControl w:val="false"/>
        <w:spacing w:lineRule="auto" w:line="360"/>
        <w:ind w:firstLine="720"/>
        <w:jc w:val="both"/>
        <w:rPr>
          <w:lang w:eastAsia="en-US"/>
        </w:rPr>
      </w:pPr>
      <w:r>
        <w:rPr>
          <w:lang w:eastAsia="en-US"/>
        </w:rPr>
        <w:t xml:space="preserve">1. списък на членовете на групата от производители; </w:t>
      </w:r>
    </w:p>
    <w:p>
      <w:pPr>
        <w:pStyle w:val="Normal"/>
        <w:widowControl w:val="false"/>
        <w:spacing w:lineRule="auto" w:line="360"/>
        <w:ind w:firstLine="720"/>
        <w:jc w:val="both"/>
        <w:rPr>
          <w:rFonts w:eastAsia="Times New Roman"/>
          <w:lang w:eastAsia="en-US"/>
        </w:rPr>
      </w:pPr>
      <w:r>
        <w:rPr>
          <w:rFonts w:eastAsia="Times New Roman"/>
          <w:lang w:eastAsia="en-US"/>
        </w:rPr>
        <w:t>2. единен документ съгласно Приложение № I от Регламент за изпълнение (ЕС) № 668/2014 на Комисията от 13 юни 2014 г. за определяне на правила за прилагането на Регламент (ЕС) № 1151/2012 на Европейския парламент и на Съвета относно схемите за качество на селскостопанските продукти и храни (обн., ОВ, серия L, бр. 179 от 19.06.2014 г.), наричан по-нататък "Регламент за изпълнение (ЕС) № 668/2014", в съответствие с условията на чл. 6, параграф 1 на същия регламент.</w:t>
      </w:r>
    </w:p>
    <w:p>
      <w:pPr>
        <w:pStyle w:val="Normal"/>
        <w:widowControl w:val="false"/>
        <w:spacing w:lineRule="auto" w:line="360"/>
        <w:ind w:firstLine="720"/>
        <w:jc w:val="both"/>
        <w:rPr>
          <w:rFonts w:eastAsia="Times New Roman"/>
          <w:lang w:eastAsia="en-US"/>
        </w:rPr>
      </w:pPr>
      <w:r>
        <w:rPr>
          <w:lang w:eastAsia="en-US"/>
        </w:rPr>
        <w:t>3. правила, регламентиращи спазването на продуктовата спецификация;</w:t>
      </w:r>
    </w:p>
    <w:p>
      <w:pPr>
        <w:pStyle w:val="Normal"/>
        <w:widowControl w:val="false"/>
        <w:spacing w:lineRule="auto" w:line="360"/>
        <w:ind w:firstLine="720"/>
        <w:jc w:val="both"/>
        <w:rPr>
          <w:rFonts w:eastAsia="Times New Roman"/>
          <w:lang w:eastAsia="en-US"/>
        </w:rPr>
      </w:pPr>
      <w:r>
        <w:rPr>
          <w:lang w:eastAsia="en-US"/>
        </w:rPr>
        <w:t>4. декларация съгласно приложение № 2 от всеки член на групата по ал. 1;</w:t>
      </w:r>
    </w:p>
    <w:p>
      <w:pPr>
        <w:pStyle w:val="Normal"/>
        <w:widowControl w:val="false"/>
        <w:spacing w:lineRule="auto" w:line="360"/>
        <w:ind w:firstLine="720"/>
        <w:jc w:val="both"/>
        <w:rPr>
          <w:rFonts w:eastAsia="Times New Roman"/>
          <w:lang w:eastAsia="en-US"/>
        </w:rPr>
      </w:pPr>
      <w:r>
        <w:rPr>
          <w:lang w:eastAsia="en-US"/>
        </w:rPr>
        <w:t>5. кратко описание на помещенията и техническото оборудване;</w:t>
      </w:r>
    </w:p>
    <w:p>
      <w:pPr>
        <w:pStyle w:val="Normal"/>
        <w:widowControl w:val="false"/>
        <w:spacing w:lineRule="auto" w:line="360"/>
        <w:ind w:firstLine="720"/>
        <w:jc w:val="both"/>
        <w:rPr>
          <w:rFonts w:eastAsia="Times New Roman"/>
          <w:lang w:eastAsia="en-US"/>
        </w:rPr>
      </w:pPr>
      <w:r>
        <w:rPr>
          <w:lang w:eastAsia="en-US"/>
        </w:rPr>
        <w:t>6. доказателства за връзката между притежаваните характеристики на земеделския или хранителния продукт и географската област, включваща природни и човешки фактори;</w:t>
      </w:r>
    </w:p>
    <w:p>
      <w:pPr>
        <w:pStyle w:val="Normal"/>
        <w:widowControl w:val="false"/>
        <w:spacing w:lineRule="auto" w:line="360"/>
        <w:ind w:firstLine="720"/>
        <w:jc w:val="both"/>
        <w:rPr>
          <w:rFonts w:eastAsia="Times New Roman"/>
          <w:lang w:eastAsia="en-US"/>
        </w:rPr>
      </w:pPr>
      <w:r>
        <w:rPr>
          <w:lang w:eastAsia="en-US"/>
        </w:rPr>
        <w:t>7. доказателства за добро име, качество, известност или друга характеристика, която се дължи на географския произход;</w:t>
      </w:r>
    </w:p>
    <w:p>
      <w:pPr>
        <w:pStyle w:val="Normal"/>
        <w:widowControl w:val="false"/>
        <w:spacing w:lineRule="auto" w:line="360"/>
        <w:ind w:firstLine="720"/>
        <w:jc w:val="both"/>
        <w:rPr>
          <w:rFonts w:eastAsia="Times New Roman"/>
          <w:lang w:eastAsia="en-US"/>
        </w:rPr>
      </w:pPr>
      <w:r>
        <w:rPr>
          <w:lang w:eastAsia="en-US"/>
        </w:rPr>
        <w:t>8. опис на всички подадени документи с посочен брой на страниците.</w:t>
      </w:r>
    </w:p>
    <w:p>
      <w:pPr>
        <w:pStyle w:val="Normal"/>
        <w:widowControl w:val="false"/>
        <w:spacing w:lineRule="auto" w:line="360" w:before="120" w:after="0"/>
        <w:ind w:firstLine="720"/>
        <w:jc w:val="both"/>
        <w:rPr>
          <w:rFonts w:eastAsia="Times New Roman"/>
          <w:lang w:eastAsia="en-US"/>
        </w:rPr>
      </w:pPr>
      <w:r>
        <w:rPr>
          <w:b/>
          <w:bCs/>
          <w:lang w:eastAsia="en-US"/>
        </w:rPr>
        <w:t>Чл. 8.</w:t>
      </w:r>
      <w:r>
        <w:rPr>
          <w:lang w:eastAsia="en-US"/>
        </w:rPr>
        <w:t xml:space="preserve"> (1) Индивидуален производител подава заявление-спецификация по реда на чл. 7.</w:t>
      </w:r>
    </w:p>
    <w:p>
      <w:pPr>
        <w:pStyle w:val="Normal"/>
        <w:widowControl w:val="false"/>
        <w:spacing w:lineRule="auto" w:line="360"/>
        <w:ind w:firstLine="720"/>
        <w:jc w:val="both"/>
        <w:rPr>
          <w:rFonts w:eastAsia="Times New Roman"/>
          <w:lang w:eastAsia="en-US"/>
        </w:rPr>
      </w:pPr>
      <w:r>
        <w:rPr>
          <w:lang w:eastAsia="en-US"/>
        </w:rPr>
        <w:t>(2) Към заявлението-спецификация се прилагат документите по чл. 7, ал. 2, т. 2 – 8.</w:t>
      </w:r>
      <w:r>
        <w:rPr>
          <w:rFonts w:eastAsia="Times New Roman"/>
          <w:lang w:eastAsia="en-US"/>
        </w:rPr>
        <w:t xml:space="preserve"> </w:t>
      </w:r>
    </w:p>
    <w:p>
      <w:pPr>
        <w:pStyle w:val="Normal"/>
        <w:widowControl w:val="false"/>
        <w:spacing w:lineRule="auto" w:line="360" w:before="120" w:after="0"/>
        <w:ind w:firstLine="720"/>
        <w:jc w:val="both"/>
        <w:rPr>
          <w:rFonts w:eastAsia="Times New Roman"/>
          <w:lang w:eastAsia="en-US"/>
        </w:rPr>
      </w:pPr>
      <w:r>
        <w:rPr>
          <w:b/>
          <w:bCs/>
          <w:lang w:eastAsia="en-US"/>
        </w:rPr>
        <w:t>Чл. 9.</w:t>
      </w:r>
      <w:r>
        <w:rPr>
          <w:lang w:eastAsia="en-US"/>
        </w:rPr>
        <w:t xml:space="preserve"> (1) Компетентното звено в МЗХГ проверява подадените документи съгласно чл. 7 или чл. 8. Когато се установят непълноти и/или неточности и/или не са представени изискуемите документи по чл. 7, ал. 2, заявителят се уведомява писмено и му се предоставя едномесечен срок за отстраняването им и/или за предоставяне на изискуемите документи. Срокът започва да тече от датата на получаване на уведомлението.</w:t>
      </w:r>
    </w:p>
    <w:p>
      <w:pPr>
        <w:pStyle w:val="Normal"/>
        <w:widowControl w:val="false"/>
        <w:spacing w:lineRule="auto" w:line="360"/>
        <w:ind w:firstLine="720"/>
        <w:jc w:val="both"/>
        <w:rPr>
          <w:rFonts w:eastAsia="Times New Roman"/>
          <w:lang w:eastAsia="en-US"/>
        </w:rPr>
      </w:pPr>
      <w:r>
        <w:rPr>
          <w:lang w:eastAsia="en-US"/>
        </w:rPr>
        <w:t>(2) Когато в предоставения срок заявителят не отстрани непълнотите и/или неточностите</w:t>
      </w:r>
      <w:r>
        <w:rPr/>
        <w:t xml:space="preserve"> </w:t>
      </w:r>
      <w:r>
        <w:rPr>
          <w:lang w:eastAsia="en-US"/>
        </w:rPr>
        <w:t>и/или не представи изискуемите документи, производството се прекратява</w:t>
      </w:r>
      <w:r>
        <w:rPr>
          <w:rFonts w:eastAsia="Times New Roman"/>
          <w:lang w:eastAsia="en-US"/>
        </w:rPr>
        <w:t xml:space="preserve"> </w:t>
      </w:r>
      <w:r>
        <w:rPr>
          <w:lang w:eastAsia="en-US"/>
        </w:rPr>
        <w:t xml:space="preserve">със заповед на министъра на земеделието, храните и горите. </w:t>
      </w:r>
    </w:p>
    <w:p>
      <w:pPr>
        <w:pStyle w:val="Normal"/>
        <w:widowControl w:val="false"/>
        <w:spacing w:lineRule="auto" w:line="360"/>
        <w:ind w:firstLine="720"/>
        <w:jc w:val="both"/>
        <w:rPr>
          <w:rFonts w:eastAsia="Times New Roman"/>
          <w:lang w:eastAsia="en-US"/>
        </w:rPr>
      </w:pPr>
      <w:r>
        <w:rPr>
          <w:lang w:eastAsia="en-US"/>
        </w:rPr>
        <w:t xml:space="preserve"> </w:t>
      </w:r>
      <w:r>
        <w:rPr>
          <w:lang w:eastAsia="en-US"/>
        </w:rPr>
        <w:t>(3) Производството по вписване се прекратява и по молба на заявителя по реда на ал. 2.</w:t>
      </w:r>
    </w:p>
    <w:p>
      <w:pPr>
        <w:pStyle w:val="Normal"/>
        <w:widowControl w:val="false"/>
        <w:spacing w:lineRule="auto" w:line="360"/>
        <w:ind w:firstLine="720"/>
        <w:jc w:val="both"/>
        <w:rPr>
          <w:rFonts w:eastAsia="Times New Roman"/>
          <w:lang w:eastAsia="en-US"/>
        </w:rPr>
      </w:pPr>
      <w:r>
        <w:rPr>
          <w:rFonts w:eastAsia="Times New Roman"/>
          <w:lang w:eastAsia="en-US"/>
        </w:rPr>
        <w:t xml:space="preserve">(4) </w:t>
      </w:r>
      <w:r>
        <w:rPr>
          <w:lang w:eastAsia="en-US"/>
        </w:rPr>
        <w:t>Заповедите по ал. 2 и 3 се съобщават</w:t>
      </w:r>
      <w:r>
        <w:rPr/>
        <w:t xml:space="preserve"> </w:t>
      </w:r>
      <w:r>
        <w:rPr>
          <w:lang w:eastAsia="en-US"/>
        </w:rPr>
        <w:t>в 3-дневен срок и могат да се обжалват по реда на Административнопроцесуалния кодекс.</w:t>
      </w:r>
    </w:p>
    <w:p>
      <w:pPr>
        <w:pStyle w:val="Normal"/>
        <w:widowControl w:val="false"/>
        <w:spacing w:lineRule="auto" w:line="360" w:before="120" w:after="0"/>
        <w:ind w:firstLine="720"/>
        <w:jc w:val="both"/>
        <w:rPr>
          <w:rFonts w:eastAsia="Times New Roman"/>
          <w:lang w:eastAsia="en-US"/>
        </w:rPr>
      </w:pPr>
      <w:r>
        <w:rPr>
          <w:b/>
          <w:bCs/>
          <w:lang w:eastAsia="en-US"/>
        </w:rPr>
        <w:t>Чл. 10.</w:t>
      </w:r>
      <w:r>
        <w:rPr>
          <w:lang w:eastAsia="en-US"/>
        </w:rPr>
        <w:t xml:space="preserve"> (1) Компетентното звено</w:t>
      </w:r>
      <w:r>
        <w:rPr>
          <w:rFonts w:eastAsia="Times New Roman"/>
          <w:lang w:eastAsia="en-US"/>
        </w:rPr>
        <w:t xml:space="preserve"> </w:t>
      </w:r>
      <w:r>
        <w:rPr>
          <w:lang w:eastAsia="en-US"/>
        </w:rPr>
        <w:t>извършва документална проверка и проверка на място дали са изпълнени условията за вписване в Европейския регистър на защитените наименования за произход и защитените географски указания съгласно Регламент (ЕС) № 1151/2012, делегиран Регламент (ЕС) № 664/2014 на Комисията от 18 декември 2013 г. за допълване на Регламент (ЕС) № 1151/2012 на Европейския парламент и на Съвета по отношение на определянето на символите на Съюза за защитени наименования за произход, защитени географски указания и храни с традиционно специфичен характер, както и по отношение на определени правила за снабдяване, някои процедурни правила и някои допълнителни преходни разпоредби (обн., OB, серия L, бр. 179 от 19.06.2014 г.), наричан по-нататък "делегиран Регламент (ЕС) № 664/2014", и Регламент за изпълнение (ЕС) № 668/2014 и изготвя доклад до комисията по чл. 2. При необходимост в проверките могат да участват и други длъжностни лица.</w:t>
      </w:r>
    </w:p>
    <w:p>
      <w:pPr>
        <w:pStyle w:val="Normal"/>
        <w:widowControl w:val="false"/>
        <w:spacing w:lineRule="auto" w:line="360"/>
        <w:ind w:firstLine="720"/>
        <w:jc w:val="both"/>
        <w:rPr>
          <w:rFonts w:eastAsia="Times New Roman"/>
          <w:lang w:eastAsia="en-US"/>
        </w:rPr>
      </w:pPr>
      <w:r>
        <w:rPr>
          <w:lang w:eastAsia="en-US"/>
        </w:rPr>
        <w:t>(2) Министърът на земеделието, храните и горите със заповед определя лицата, които извършват проверка на място на производството и/или преработката на земеделския продукт или храна.</w:t>
      </w:r>
    </w:p>
    <w:p>
      <w:pPr>
        <w:pStyle w:val="Normal"/>
        <w:widowControl w:val="false"/>
        <w:spacing w:lineRule="auto" w:line="360"/>
        <w:ind w:firstLine="720"/>
        <w:jc w:val="both"/>
        <w:rPr>
          <w:rFonts w:eastAsia="Times New Roman"/>
          <w:lang w:eastAsia="en-US"/>
        </w:rPr>
      </w:pPr>
      <w:r>
        <w:rPr>
          <w:lang w:eastAsia="en-US"/>
        </w:rPr>
        <w:t>(3) При проверката по ал. 1 длъжностните лица попълват контролен лист съгласно приложение № 3.</w:t>
      </w:r>
    </w:p>
    <w:p>
      <w:pPr>
        <w:pStyle w:val="Normal"/>
        <w:spacing w:lineRule="auto" w:line="360"/>
        <w:ind w:firstLine="720"/>
        <w:jc w:val="both"/>
        <w:rPr>
          <w:rFonts w:eastAsia="Times New Roman"/>
          <w:lang w:eastAsia="en-US"/>
        </w:rPr>
      </w:pPr>
      <w:r>
        <w:rPr>
          <w:lang w:eastAsia="en-US"/>
        </w:rPr>
        <w:t xml:space="preserve">(4) Длъжностните лица подписват декларация, че се задължават да не разгласяват обстоятелства от дейността на проверяваните лица, станали им известни при извършване на проверките, и за липса на конфликт на интереси по смисъла на Закона за противодействие на корупцията и за отнемане на незаконно придобитото имущество.  </w:t>
      </w:r>
    </w:p>
    <w:p>
      <w:pPr>
        <w:pStyle w:val="Normal"/>
        <w:widowControl w:val="false"/>
        <w:spacing w:lineRule="auto" w:line="360" w:before="120" w:after="0"/>
        <w:ind w:firstLine="720"/>
        <w:jc w:val="both"/>
        <w:rPr>
          <w:rFonts w:eastAsia="Times New Roman"/>
          <w:lang w:eastAsia="en-US"/>
        </w:rPr>
      </w:pPr>
      <w:r>
        <w:rPr>
          <w:b/>
          <w:bCs/>
          <w:lang w:eastAsia="en-US"/>
        </w:rPr>
        <w:t>Чл. 11.</w:t>
      </w:r>
      <w:r>
        <w:rPr>
          <w:lang w:eastAsia="en-US"/>
        </w:rPr>
        <w:t xml:space="preserve"> (1) Информация за подадено заявление-спецификация се публикува на интернет страницата на МЗХГ и в един централен ежедневник в срок 14 дни от приключване на проверката на място по чл. 10. Информацията включва наименованието на заявителя, наименованието на земеделския продукт или храна и указание за право на възражение и срока за упражняването му.</w:t>
      </w:r>
    </w:p>
    <w:p>
      <w:pPr>
        <w:pStyle w:val="Normal"/>
        <w:widowControl w:val="false"/>
        <w:spacing w:lineRule="auto" w:line="360"/>
        <w:ind w:firstLine="720"/>
        <w:jc w:val="both"/>
        <w:rPr>
          <w:rFonts w:eastAsia="Times New Roman"/>
          <w:lang w:eastAsia="en-US"/>
        </w:rPr>
      </w:pPr>
      <w:r>
        <w:rPr>
          <w:rFonts w:eastAsia="Times New Roman"/>
          <w:lang w:eastAsia="en-US"/>
        </w:rPr>
        <w:t xml:space="preserve">(2) </w:t>
      </w:r>
      <w:r>
        <w:rPr>
          <w:lang w:eastAsia="en-US"/>
        </w:rPr>
        <w:t>Пълният текст на подаденото заявление-спецификация съгласно чл. 7, ал. 1, т. 1 или чл. 8, ал. 1 се публикува на интернет страницата на МЗХГ в срока по ал. 1.</w:t>
      </w:r>
    </w:p>
    <w:p>
      <w:pPr>
        <w:pStyle w:val="Normal"/>
        <w:widowControl w:val="false"/>
        <w:spacing w:lineRule="auto" w:line="360"/>
        <w:ind w:firstLine="720"/>
        <w:jc w:val="both"/>
        <w:rPr>
          <w:rFonts w:eastAsia="Times New Roman"/>
          <w:lang w:eastAsia="en-US"/>
        </w:rPr>
      </w:pPr>
      <w:r>
        <w:rPr>
          <w:lang w:eastAsia="en-US"/>
        </w:rPr>
        <w:t>(3) Всяко лице с постоянен адрес или седалище в България, което има правен интерес, може в срок до един месец от датата на публикуването по ал. 1 да изпрати до МЗХГ възражение по образец съгласно Приложение № 4.</w:t>
      </w:r>
    </w:p>
    <w:p>
      <w:pPr>
        <w:pStyle w:val="Normal"/>
        <w:widowControl w:val="false"/>
        <w:spacing w:lineRule="auto" w:line="360"/>
        <w:ind w:firstLine="720"/>
        <w:jc w:val="both"/>
        <w:rPr>
          <w:rFonts w:eastAsia="Times New Roman"/>
          <w:lang w:eastAsia="en-US"/>
        </w:rPr>
      </w:pPr>
      <w:r>
        <w:rPr>
          <w:lang w:eastAsia="en-US"/>
        </w:rPr>
        <w:t>(4) Компетентното звено в МЗХГ извършва проверка на допустимостта на постъпилите възражения на основание чл. 10 от Регламент № 1151/2012.</w:t>
      </w:r>
    </w:p>
    <w:p>
      <w:pPr>
        <w:pStyle w:val="Normal"/>
        <w:widowControl w:val="false"/>
        <w:spacing w:lineRule="auto" w:line="360"/>
        <w:ind w:firstLine="720"/>
        <w:jc w:val="both"/>
        <w:rPr>
          <w:rFonts w:eastAsia="Times New Roman"/>
          <w:lang w:eastAsia="en-US"/>
        </w:rPr>
      </w:pPr>
      <w:r>
        <w:rPr>
          <w:lang w:eastAsia="en-US"/>
        </w:rPr>
        <w:t>(5) Когато постъпилите възражения са допустими, компетентното звено в МЗХГ писмено съобщава на заявителя и му изпраща копия от тях и указания за провеждане на преговори с възразилите лица за постигане на споразумение. Преговорите се провеждат с цел постигане на съгласие по всички обстоятелства, по които е направено допустимо възражение.</w:t>
      </w:r>
    </w:p>
    <w:p>
      <w:pPr>
        <w:pStyle w:val="Normal"/>
        <w:widowControl w:val="false"/>
        <w:spacing w:lineRule="auto" w:line="360"/>
        <w:ind w:firstLine="720"/>
        <w:jc w:val="both"/>
        <w:rPr>
          <w:rFonts w:eastAsia="Times New Roman"/>
          <w:lang w:eastAsia="en-US"/>
        </w:rPr>
      </w:pPr>
      <w:r>
        <w:rPr>
          <w:lang w:eastAsia="en-US"/>
        </w:rPr>
        <w:t>(6) В двумесечен срок от получаване на копията на възраженията заявителят изпраща писмено становище по тях до компетентното звено в МЗХГ, като прилага постигнатото споразумение и ново заявление-спецификация и единен документ, когато това се налага. Когато не е постигнато споразумение, заявителят обяснява в становището си и причините за това.</w:t>
      </w:r>
    </w:p>
    <w:p>
      <w:pPr>
        <w:pStyle w:val="Normal"/>
        <w:widowControl w:val="false"/>
        <w:spacing w:lineRule="auto" w:line="360"/>
        <w:ind w:firstLine="720"/>
        <w:jc w:val="both"/>
        <w:rPr>
          <w:rFonts w:eastAsia="Times New Roman"/>
          <w:lang w:eastAsia="en-US"/>
        </w:rPr>
      </w:pPr>
      <w:r>
        <w:rPr>
          <w:lang w:eastAsia="en-US"/>
        </w:rPr>
        <w:t>(7) Възраженията, по които страните са постигнали съгласие, се считат за оттеглени от възразилата страна. По възраженията, по които страните не са постигнали съгласие, се произнася Комисията по реда на чл. 13.</w:t>
      </w:r>
    </w:p>
    <w:p>
      <w:pPr>
        <w:pStyle w:val="Normal"/>
        <w:widowControl w:val="false"/>
        <w:spacing w:lineRule="auto" w:line="360" w:before="120" w:after="0"/>
        <w:ind w:firstLine="720"/>
        <w:jc w:val="both"/>
        <w:rPr>
          <w:rFonts w:eastAsia="Times New Roman"/>
          <w:lang w:eastAsia="en-US"/>
        </w:rPr>
      </w:pPr>
      <w:r>
        <w:rPr>
          <w:b/>
          <w:bCs/>
          <w:lang w:eastAsia="en-US"/>
        </w:rPr>
        <w:t>Чл. 12.</w:t>
      </w:r>
      <w:r>
        <w:rPr>
          <w:lang w:eastAsia="en-US"/>
        </w:rPr>
        <w:t xml:space="preserve"> (1) Компетентното звено в МЗХГ изготвя доклад за постъпилите възражения и постигнатото споразумение, съответно липсата на такова, до Комисията.</w:t>
      </w:r>
    </w:p>
    <w:p>
      <w:pPr>
        <w:pStyle w:val="Normal"/>
        <w:widowControl w:val="false"/>
        <w:spacing w:lineRule="auto" w:line="360"/>
        <w:ind w:firstLine="720"/>
        <w:jc w:val="both"/>
        <w:rPr>
          <w:rFonts w:eastAsia="Times New Roman"/>
          <w:lang w:eastAsia="en-US"/>
        </w:rPr>
      </w:pPr>
      <w:r>
        <w:rPr>
          <w:lang w:eastAsia="en-US"/>
        </w:rPr>
        <w:t>(2) Комисията разглежда заявлението, заедно с приложените към него документи, и докладите на компетентното звено в МЗХГ по чл. 10, ал. 1 и чл. 12, ал. 1 и предлага на министъра на земеделието, храните и горите</w:t>
      </w:r>
      <w:r>
        <w:rPr>
          <w:rFonts w:eastAsia="Times New Roman"/>
          <w:lang w:eastAsia="en-US"/>
        </w:rPr>
        <w:t xml:space="preserve"> </w:t>
      </w:r>
      <w:r>
        <w:rPr>
          <w:lang w:eastAsia="en-US"/>
        </w:rPr>
        <w:t>становище за одобрение или за мотивиран отказ.</w:t>
      </w:r>
    </w:p>
    <w:p>
      <w:pPr>
        <w:pStyle w:val="Normal"/>
        <w:widowControl w:val="false"/>
        <w:spacing w:lineRule="auto" w:line="360"/>
        <w:ind w:firstLine="720"/>
        <w:jc w:val="both"/>
        <w:rPr>
          <w:rFonts w:eastAsia="Times New Roman"/>
          <w:lang w:eastAsia="en-US"/>
        </w:rPr>
      </w:pPr>
      <w:r>
        <w:rPr>
          <w:lang w:eastAsia="en-US"/>
        </w:rPr>
        <w:t>(3) Когато има възражения, по които страните не са постигнали съгласие по чл. 11, ал. 5, комисията се произнася по тях, като мотивира тяхното приемане или отхвърляне. При необходимост Комисията може да поиска писмено становище от възразилите лица или да ги изслуша на свое заседание.</w:t>
      </w:r>
    </w:p>
    <w:p>
      <w:pPr>
        <w:pStyle w:val="Normal"/>
        <w:widowControl w:val="false"/>
        <w:spacing w:lineRule="auto" w:line="360" w:before="120" w:after="0"/>
        <w:ind w:firstLine="720"/>
        <w:jc w:val="both"/>
        <w:rPr>
          <w:rFonts w:eastAsia="Times New Roman"/>
          <w:lang w:eastAsia="en-US"/>
        </w:rPr>
      </w:pPr>
      <w:r>
        <w:rPr>
          <w:b/>
          <w:bCs/>
          <w:lang w:eastAsia="en-US"/>
        </w:rPr>
        <w:t>Чл. 13</w:t>
      </w:r>
      <w:r>
        <w:rPr>
          <w:rFonts w:eastAsia="Times New Roman"/>
          <w:b/>
          <w:bCs/>
          <w:lang w:eastAsia="en-US"/>
        </w:rPr>
        <w:t>.</w:t>
      </w:r>
      <w:r>
        <w:rPr>
          <w:lang w:eastAsia="en-US"/>
        </w:rPr>
        <w:t xml:space="preserve"> (1) Когато по реда на чл. 12 Комисията установи, че представените доказателства не са достатъчни, на заявителя се предоставя възможност да представи допълнителни доказателства, като компетентното звено в МЗХГ дава указания за това.</w:t>
      </w:r>
      <w:r>
        <w:rPr>
          <w:rFonts w:eastAsia="Times New Roman"/>
          <w:lang w:eastAsia="en-US"/>
        </w:rPr>
        <w:t xml:space="preserve"> </w:t>
      </w:r>
    </w:p>
    <w:p>
      <w:pPr>
        <w:pStyle w:val="Normal"/>
        <w:widowControl w:val="false"/>
        <w:spacing w:lineRule="auto" w:line="360"/>
        <w:ind w:firstLine="720"/>
        <w:jc w:val="both"/>
        <w:rPr>
          <w:rFonts w:eastAsia="Times New Roman"/>
          <w:lang w:eastAsia="en-US"/>
        </w:rPr>
      </w:pPr>
      <w:r>
        <w:rPr>
          <w:lang w:eastAsia="en-US"/>
        </w:rPr>
        <w:t xml:space="preserve">(2) Допълнителните доказателства се представят в МЗХГ в срок до два месеца от уведомяването на заявителя. </w:t>
      </w:r>
    </w:p>
    <w:p>
      <w:pPr>
        <w:pStyle w:val="Normal"/>
        <w:widowControl w:val="false"/>
        <w:spacing w:lineRule="auto" w:line="360"/>
        <w:ind w:firstLine="720"/>
        <w:jc w:val="both"/>
        <w:rPr>
          <w:rFonts w:eastAsia="Times New Roman"/>
          <w:lang w:eastAsia="en-US"/>
        </w:rPr>
      </w:pPr>
      <w:r>
        <w:rPr>
          <w:lang w:eastAsia="en-US"/>
        </w:rPr>
        <w:t xml:space="preserve">(3) Когато заявителят не представи допълнителни доказателства по ал. 2, </w:t>
      </w:r>
      <w:r>
        <w:rPr>
          <w:rFonts w:eastAsia="Times New Roman"/>
          <w:lang w:eastAsia="en-US"/>
        </w:rPr>
        <w:t xml:space="preserve"> </w:t>
      </w:r>
      <w:r>
        <w:rPr>
          <w:lang w:eastAsia="en-US"/>
        </w:rPr>
        <w:t xml:space="preserve">производството по вписване се прекратява по реда на чл. 9, ал. </w:t>
      </w:r>
      <w:r>
        <w:rPr>
          <w:rFonts w:eastAsia="Times New Roman"/>
          <w:lang w:eastAsia="en-US"/>
        </w:rPr>
        <w:t>2.</w:t>
      </w:r>
    </w:p>
    <w:p>
      <w:pPr>
        <w:pStyle w:val="Normal"/>
        <w:widowControl w:val="false"/>
        <w:spacing w:lineRule="auto" w:line="360" w:before="120" w:after="0"/>
        <w:ind w:firstLine="720"/>
        <w:jc w:val="both"/>
        <w:rPr>
          <w:rFonts w:eastAsia="Times New Roman"/>
          <w:lang w:eastAsia="en-US"/>
        </w:rPr>
      </w:pPr>
      <w:r>
        <w:rPr>
          <w:b/>
          <w:bCs/>
          <w:lang w:eastAsia="en-US"/>
        </w:rPr>
        <w:t>Чл. 14</w:t>
      </w:r>
      <w:r>
        <w:rPr>
          <w:rFonts w:eastAsia="Times New Roman"/>
          <w:b/>
          <w:bCs/>
          <w:lang w:eastAsia="en-US"/>
        </w:rPr>
        <w:t>.</w:t>
      </w:r>
      <w:r>
        <w:rPr>
          <w:rFonts w:eastAsia="Times New Roman"/>
          <w:lang w:eastAsia="en-US"/>
        </w:rPr>
        <w:t xml:space="preserve"> (1)  </w:t>
      </w:r>
      <w:r>
        <w:rPr>
          <w:lang w:eastAsia="en-US"/>
        </w:rPr>
        <w:t>Министърът на земеделието, храните и горите след запознаване със становището по чл. 12, ал. 2 на комисията издава заповед за</w:t>
      </w:r>
      <w:r>
        <w:rPr>
          <w:rFonts w:eastAsia="Times New Roman"/>
          <w:lang w:eastAsia="en-US"/>
        </w:rPr>
        <w:t>:</w:t>
      </w:r>
    </w:p>
    <w:p>
      <w:pPr>
        <w:pStyle w:val="Normal"/>
        <w:widowControl w:val="false"/>
        <w:spacing w:lineRule="auto" w:line="360"/>
        <w:ind w:firstLine="709"/>
        <w:jc w:val="both"/>
        <w:rPr>
          <w:lang w:eastAsia="en-US"/>
        </w:rPr>
      </w:pPr>
      <w:r>
        <w:rPr>
          <w:lang w:eastAsia="en-US"/>
        </w:rPr>
        <w:t>1. изпращането на заявлението до Европейската комисия;</w:t>
      </w:r>
    </w:p>
    <w:p>
      <w:pPr>
        <w:pStyle w:val="Normal"/>
        <w:widowControl w:val="false"/>
        <w:spacing w:lineRule="auto" w:line="360"/>
        <w:ind w:firstLine="709"/>
        <w:jc w:val="both"/>
        <w:rPr>
          <w:lang w:eastAsia="en-US"/>
        </w:rPr>
      </w:pPr>
      <w:r>
        <w:rPr>
          <w:lang w:eastAsia="en-US"/>
        </w:rPr>
        <w:t xml:space="preserve">2. отказ. </w:t>
      </w:r>
    </w:p>
    <w:p>
      <w:pPr>
        <w:pStyle w:val="Normal"/>
        <w:widowControl w:val="false"/>
        <w:spacing w:lineRule="auto" w:line="360"/>
        <w:ind w:firstLine="720"/>
        <w:jc w:val="both"/>
        <w:rPr>
          <w:lang w:eastAsia="en-US"/>
        </w:rPr>
      </w:pPr>
      <w:r>
        <w:rPr>
          <w:lang w:eastAsia="en-US"/>
        </w:rPr>
        <w:t xml:space="preserve"> </w:t>
      </w:r>
      <w:r>
        <w:rPr>
          <w:lang w:eastAsia="en-US"/>
        </w:rPr>
        <w:t>(2) Заповедите по ал. 1 се съобщават в 3-дневен срок на заявителя и всички заинтересовани лица, включително тези по чл. 11, ал. 3 и могат да се обжалват по реда на Административнопроцесуалния кодекс.</w:t>
      </w:r>
    </w:p>
    <w:p>
      <w:pPr>
        <w:pStyle w:val="Normal"/>
        <w:widowControl w:val="false"/>
        <w:spacing w:lineRule="auto" w:line="360"/>
        <w:ind w:firstLine="720"/>
        <w:jc w:val="both"/>
        <w:rPr>
          <w:strike/>
          <w:lang w:eastAsia="en-US"/>
        </w:rPr>
      </w:pPr>
      <w:r>
        <w:rPr>
          <w:lang w:eastAsia="en-US"/>
        </w:rPr>
        <w:t xml:space="preserve"> </w:t>
      </w:r>
      <w:r>
        <w:rPr>
          <w:lang w:eastAsia="en-US"/>
        </w:rPr>
        <w:t>(3) Заповедта по ал. 1, т. 1 и заявлението-спецификация се публикуват на интернет страницата на МЗХГ в 10-дневен срок след влизането й в сила, като заявлението се изпраща до Европейската комисия за вписване в Европейския регистър на защитените наименования за произход и защитените географски указания.</w:t>
      </w:r>
    </w:p>
    <w:p>
      <w:pPr>
        <w:pStyle w:val="Normal"/>
        <w:widowControl w:val="false"/>
        <w:spacing w:lineRule="auto" w:line="360" w:before="120" w:after="0"/>
        <w:jc w:val="center"/>
        <w:rPr>
          <w:rFonts w:eastAsia="Times New Roman"/>
          <w:bCs/>
          <w:lang w:eastAsia="en-US"/>
        </w:rPr>
      </w:pPr>
      <w:r>
        <w:rPr>
          <w:bCs/>
          <w:lang w:eastAsia="en-US"/>
        </w:rPr>
        <w:t>Раздел II</w:t>
      </w:r>
    </w:p>
    <w:p>
      <w:pPr>
        <w:pStyle w:val="Normal"/>
        <w:widowControl w:val="false"/>
        <w:spacing w:lineRule="auto" w:line="360"/>
        <w:jc w:val="center"/>
        <w:rPr>
          <w:rFonts w:eastAsia="Times New Roman"/>
          <w:b/>
          <w:b/>
          <w:bCs/>
          <w:lang w:eastAsia="en-US"/>
        </w:rPr>
      </w:pPr>
      <w:r>
        <w:rPr>
          <w:b/>
          <w:bCs/>
          <w:lang w:eastAsia="en-US"/>
        </w:rPr>
        <w:t>Ред за подготовка и представяне на искания до Европейската комисия за изменение на вписано географско означение</w:t>
      </w:r>
    </w:p>
    <w:p>
      <w:pPr>
        <w:pStyle w:val="Normal"/>
        <w:widowControl w:val="false"/>
        <w:spacing w:lineRule="auto" w:line="360" w:before="120" w:after="0"/>
        <w:ind w:firstLine="720"/>
        <w:jc w:val="both"/>
        <w:rPr>
          <w:rFonts w:eastAsia="Times New Roman"/>
          <w:lang w:eastAsia="en-US"/>
        </w:rPr>
      </w:pPr>
      <w:r>
        <w:rPr>
          <w:b/>
          <w:bCs/>
          <w:lang w:eastAsia="en-US"/>
        </w:rPr>
        <w:t>Чл. 15.</w:t>
      </w:r>
      <w:r>
        <w:rPr>
          <w:lang w:eastAsia="en-US"/>
        </w:rPr>
        <w:t xml:space="preserve"> (1) Група от производители, съответно индивидуален производител, които имат правен интерес, може да подават в МЗХГ писмени искания за изменение на спецификацията на географско означение, вписано в Европейския регистър на защитените наименования за произход и защитените географски указания, в съответствие с чл. 6 на делегиран Регламент (ЕС) № 664/2014 и с чл. 10 на Регламент за изпълнение (ЕС) № 668/2014.</w:t>
      </w:r>
    </w:p>
    <w:p>
      <w:pPr>
        <w:pStyle w:val="Normal"/>
        <w:widowControl w:val="false"/>
        <w:spacing w:lineRule="auto" w:line="360"/>
        <w:ind w:firstLine="720"/>
        <w:jc w:val="both"/>
        <w:rPr>
          <w:rFonts w:eastAsia="Times New Roman"/>
          <w:lang w:eastAsia="en-US"/>
        </w:rPr>
      </w:pPr>
      <w:r>
        <w:rPr>
          <w:lang w:eastAsia="en-US"/>
        </w:rPr>
        <w:t>(2) Искането съдържа данни за групата производители, съответно индивидуалния производител, описание на изменението и на причините, които го налагат.</w:t>
      </w:r>
    </w:p>
    <w:p>
      <w:pPr>
        <w:pStyle w:val="Normal"/>
        <w:widowControl w:val="false"/>
        <w:spacing w:lineRule="auto" w:line="360"/>
        <w:ind w:firstLine="720"/>
        <w:jc w:val="both"/>
        <w:rPr>
          <w:rFonts w:eastAsia="Times New Roman"/>
          <w:lang w:eastAsia="en-US"/>
        </w:rPr>
      </w:pPr>
      <w:r>
        <w:rPr>
          <w:lang w:eastAsia="en-US"/>
        </w:rPr>
        <w:t>(3) Искането се придружава от следните документи:</w:t>
      </w:r>
    </w:p>
    <w:p>
      <w:pPr>
        <w:pStyle w:val="Normal"/>
        <w:widowControl w:val="false"/>
        <w:spacing w:lineRule="auto" w:line="360"/>
        <w:ind w:firstLine="720"/>
        <w:jc w:val="both"/>
        <w:rPr>
          <w:rFonts w:eastAsia="Times New Roman"/>
          <w:lang w:eastAsia="en-US"/>
        </w:rPr>
      </w:pPr>
      <w:r>
        <w:rPr>
          <w:lang w:eastAsia="en-US"/>
        </w:rPr>
        <w:t>1. заявление за изменение съгласно Приложение № V от Регламент за изпълнение (ЕС) № 668/2014, когато изменението не е несъществено, или заявление за изменение съгласно Приложение № VII от Регламент за изпълнение (ЕС) № 668/2014, когато изменението е несъществено;</w:t>
      </w:r>
    </w:p>
    <w:p>
      <w:pPr>
        <w:pStyle w:val="Normal"/>
        <w:widowControl w:val="false"/>
        <w:spacing w:lineRule="auto" w:line="360"/>
        <w:ind w:firstLine="720"/>
        <w:jc w:val="both"/>
        <w:rPr>
          <w:rFonts w:eastAsia="Times New Roman"/>
          <w:lang w:eastAsia="en-US"/>
        </w:rPr>
      </w:pPr>
      <w:r>
        <w:rPr>
          <w:lang w:eastAsia="en-US"/>
        </w:rPr>
        <w:t>2. изменената спецификация на земеделския продукт или храна, както и единния документ в случай на изменение в него;</w:t>
      </w:r>
    </w:p>
    <w:p>
      <w:pPr>
        <w:pStyle w:val="Normal"/>
        <w:widowControl w:val="false"/>
        <w:spacing w:lineRule="auto" w:line="360"/>
        <w:ind w:firstLine="720"/>
        <w:jc w:val="both"/>
        <w:rPr>
          <w:rFonts w:eastAsia="Times New Roman"/>
          <w:lang w:eastAsia="en-US"/>
        </w:rPr>
      </w:pPr>
      <w:r>
        <w:rPr>
          <w:rFonts w:eastAsia="Times New Roman"/>
          <w:lang w:eastAsia="en-US"/>
        </w:rPr>
        <w:t xml:space="preserve">3. </w:t>
      </w:r>
      <w:r>
        <w:rPr>
          <w:lang w:eastAsia="en-US"/>
        </w:rPr>
        <w:t>доказателства за налагането на задължителни санитарни или фитосанитарни мерки от съответните държавни органи, в случай на временни изменения на спецификацията.</w:t>
      </w:r>
    </w:p>
    <w:p>
      <w:pPr>
        <w:pStyle w:val="Normal"/>
        <w:widowControl w:val="false"/>
        <w:spacing w:lineRule="auto" w:line="360" w:before="120" w:after="0"/>
        <w:ind w:firstLine="720"/>
        <w:jc w:val="both"/>
        <w:rPr>
          <w:rFonts w:eastAsia="Times New Roman"/>
          <w:lang w:eastAsia="en-US"/>
        </w:rPr>
      </w:pPr>
      <w:r>
        <w:rPr>
          <w:b/>
          <w:bCs/>
          <w:lang w:eastAsia="en-US"/>
        </w:rPr>
        <w:t xml:space="preserve">Чл. 16. </w:t>
      </w:r>
      <w:r>
        <w:rPr>
          <w:lang w:eastAsia="en-US"/>
        </w:rPr>
        <w:t>(1) Компетентното звено в МЗХГ извършва проверка на представените документи по чл. 15.</w:t>
      </w:r>
    </w:p>
    <w:p>
      <w:pPr>
        <w:pStyle w:val="Normal"/>
        <w:widowControl w:val="false"/>
        <w:spacing w:lineRule="auto" w:line="360"/>
        <w:ind w:firstLine="720"/>
        <w:jc w:val="both"/>
        <w:rPr>
          <w:rFonts w:eastAsia="Times New Roman"/>
          <w:lang w:eastAsia="en-US"/>
        </w:rPr>
      </w:pPr>
      <w:r>
        <w:rPr>
          <w:lang w:eastAsia="en-US"/>
        </w:rPr>
        <w:t>(2) Искането за изменение на спецификацията на географско означение, вписано в Европейския регистър на защитените наименования за произход и защитените географски указания, се разглежда съответно по реда на чл. 11 – 14.</w:t>
      </w:r>
    </w:p>
    <w:p>
      <w:pPr>
        <w:pStyle w:val="Normal"/>
        <w:widowControl w:val="false"/>
        <w:spacing w:lineRule="auto" w:line="360" w:before="120" w:after="0"/>
        <w:jc w:val="center"/>
        <w:rPr>
          <w:rFonts w:eastAsia="Times New Roman"/>
          <w:bCs/>
          <w:lang w:eastAsia="en-US"/>
        </w:rPr>
      </w:pPr>
      <w:r>
        <w:rPr>
          <w:bCs/>
          <w:lang w:eastAsia="en-US"/>
        </w:rPr>
        <w:t>Раздел III</w:t>
      </w:r>
    </w:p>
    <w:p>
      <w:pPr>
        <w:pStyle w:val="Normal"/>
        <w:widowControl w:val="false"/>
        <w:spacing w:lineRule="auto" w:line="360"/>
        <w:jc w:val="center"/>
        <w:rPr>
          <w:rFonts w:eastAsia="Times New Roman"/>
          <w:b/>
          <w:b/>
          <w:bCs/>
          <w:lang w:eastAsia="en-US"/>
        </w:rPr>
      </w:pPr>
      <w:r>
        <w:rPr>
          <w:b/>
          <w:bCs/>
          <w:lang w:eastAsia="en-US"/>
        </w:rPr>
        <w:t>Ред за подготовка и представяне на възражения до</w:t>
      </w:r>
      <w:r>
        <w:rPr>
          <w:rFonts w:eastAsia="Times New Roman"/>
          <w:b/>
          <w:bCs/>
          <w:lang w:eastAsia="en-US"/>
        </w:rPr>
        <w:t xml:space="preserve"> </w:t>
      </w:r>
      <w:r>
        <w:rPr>
          <w:b/>
          <w:bCs/>
          <w:lang w:eastAsia="en-US"/>
        </w:rPr>
        <w:t>Европейската комисия</w:t>
      </w:r>
    </w:p>
    <w:p>
      <w:pPr>
        <w:pStyle w:val="Normal"/>
        <w:widowControl w:val="false"/>
        <w:spacing w:lineRule="auto" w:line="360" w:before="120" w:after="0"/>
        <w:ind w:firstLine="720"/>
        <w:jc w:val="both"/>
        <w:rPr>
          <w:rFonts w:eastAsia="Times New Roman"/>
          <w:lang w:eastAsia="en-US"/>
        </w:rPr>
      </w:pPr>
      <w:r>
        <w:rPr>
          <w:b/>
          <w:bCs/>
          <w:lang w:eastAsia="en-US"/>
        </w:rPr>
        <w:t>Чл. 17.</w:t>
      </w:r>
      <w:r>
        <w:rPr>
          <w:lang w:eastAsia="en-US"/>
        </w:rPr>
        <w:t xml:space="preserve"> Всяко заинтересовано лице с постоянен адрес или седалище в България, което има правен интерес, може да подаде уведомление за възражение по смисъла на чл. 51, параграф 1 от Регламент № 1151/2012.</w:t>
      </w:r>
    </w:p>
    <w:p>
      <w:pPr>
        <w:pStyle w:val="Normal"/>
        <w:widowControl w:val="false"/>
        <w:spacing w:lineRule="auto" w:line="360" w:before="120" w:after="0"/>
        <w:ind w:firstLine="720"/>
        <w:jc w:val="both"/>
        <w:rPr>
          <w:rFonts w:eastAsia="Times New Roman"/>
          <w:lang w:eastAsia="en-US"/>
        </w:rPr>
      </w:pPr>
      <w:r>
        <w:rPr>
          <w:b/>
          <w:bCs/>
          <w:lang w:eastAsia="en-US"/>
        </w:rPr>
        <w:t>Чл. 18.</w:t>
      </w:r>
      <w:r>
        <w:rPr>
          <w:rFonts w:eastAsia="Times New Roman"/>
          <w:lang w:eastAsia="en-US"/>
        </w:rPr>
        <w:t xml:space="preserve"> </w:t>
      </w:r>
      <w:r>
        <w:rPr>
          <w:lang w:eastAsia="en-US"/>
        </w:rPr>
        <w:t>(1) Уведомлението за възражението се подава в МЗХГ в 2-месечен срок от публикацията в "Официален вестник" на Европейския съюз по чл. 50, параграф 2, буква "а" от Регламент № 1151/2012.</w:t>
      </w:r>
    </w:p>
    <w:p>
      <w:pPr>
        <w:pStyle w:val="Normal"/>
        <w:widowControl w:val="false"/>
        <w:spacing w:lineRule="auto" w:line="360"/>
        <w:ind w:firstLine="720"/>
        <w:jc w:val="both"/>
        <w:rPr>
          <w:rFonts w:eastAsia="Times New Roman"/>
          <w:lang w:eastAsia="en-US"/>
        </w:rPr>
      </w:pPr>
      <w:r>
        <w:rPr>
          <w:lang w:eastAsia="en-US"/>
        </w:rPr>
        <w:t>(2) Уведомлението се изпраща от МЗХГ в ЕК.</w:t>
      </w:r>
    </w:p>
    <w:p>
      <w:pPr>
        <w:pStyle w:val="Normal"/>
        <w:widowControl w:val="false"/>
        <w:spacing w:lineRule="auto" w:line="360"/>
        <w:ind w:firstLine="720"/>
        <w:jc w:val="both"/>
        <w:rPr>
          <w:rFonts w:eastAsia="Times New Roman"/>
          <w:lang w:eastAsia="en-US"/>
        </w:rPr>
      </w:pPr>
      <w:r>
        <w:rPr>
          <w:lang w:eastAsia="en-US"/>
        </w:rPr>
        <w:t>(3) Лицето, подало уведомлението, трябва да представи в МЗХГ мотивирано възражение съгласно Приложение № III от Регламент за изпълнение (ЕС) № 668/2014, в срок 14 дни от датата на уведомлението.</w:t>
      </w:r>
    </w:p>
    <w:p>
      <w:pPr>
        <w:pStyle w:val="Normal"/>
        <w:widowControl w:val="false"/>
        <w:spacing w:lineRule="auto" w:line="360" w:before="120" w:after="0"/>
        <w:ind w:firstLine="720"/>
        <w:jc w:val="both"/>
        <w:rPr>
          <w:rFonts w:eastAsia="Times New Roman"/>
          <w:lang w:eastAsia="en-US"/>
        </w:rPr>
      </w:pPr>
      <w:r>
        <w:rPr>
          <w:b/>
          <w:bCs/>
          <w:lang w:eastAsia="en-US"/>
        </w:rPr>
        <w:t>Чл. 19.</w:t>
      </w:r>
      <w:r>
        <w:rPr>
          <w:lang w:eastAsia="en-US"/>
        </w:rPr>
        <w:t xml:space="preserve"> (1) Мотивираното възражение се разглежда от Комисията.</w:t>
      </w:r>
    </w:p>
    <w:p>
      <w:pPr>
        <w:pStyle w:val="Normal"/>
        <w:widowControl w:val="false"/>
        <w:spacing w:lineRule="auto" w:line="360"/>
        <w:ind w:firstLine="720"/>
        <w:jc w:val="both"/>
        <w:rPr>
          <w:lang w:eastAsia="en-US"/>
        </w:rPr>
      </w:pPr>
      <w:r>
        <w:rPr>
          <w:lang w:eastAsia="en-US"/>
        </w:rPr>
        <w:t>(2) Министърът на земеделието, храните и горите след запознаване със становището по ал. 1 на Комисията издава заповед за:</w:t>
      </w:r>
    </w:p>
    <w:p>
      <w:pPr>
        <w:pStyle w:val="Normal"/>
        <w:widowControl w:val="false"/>
        <w:spacing w:lineRule="auto" w:line="360"/>
        <w:ind w:firstLine="709"/>
        <w:jc w:val="both"/>
        <w:rPr>
          <w:lang w:eastAsia="en-US"/>
        </w:rPr>
      </w:pPr>
      <w:r>
        <w:rPr>
          <w:lang w:eastAsia="en-US"/>
        </w:rPr>
        <w:t xml:space="preserve">1. изпращане възражението до Европейската комисия или прави мотивиран отказ. </w:t>
      </w:r>
    </w:p>
    <w:p>
      <w:pPr>
        <w:pStyle w:val="Normal"/>
        <w:widowControl w:val="false"/>
        <w:spacing w:lineRule="auto" w:line="360"/>
        <w:ind w:firstLine="709"/>
        <w:jc w:val="both"/>
        <w:rPr>
          <w:lang w:eastAsia="en-US"/>
        </w:rPr>
      </w:pPr>
      <w:r>
        <w:rPr>
          <w:lang w:eastAsia="en-US"/>
        </w:rPr>
        <w:t>2. отказ</w:t>
      </w:r>
    </w:p>
    <w:p>
      <w:pPr>
        <w:pStyle w:val="Normal"/>
        <w:widowControl w:val="false"/>
        <w:spacing w:lineRule="auto" w:line="360"/>
        <w:ind w:firstLine="720"/>
        <w:jc w:val="both"/>
        <w:rPr>
          <w:lang w:eastAsia="en-US"/>
        </w:rPr>
      </w:pPr>
      <w:r>
        <w:rPr>
          <w:lang w:eastAsia="en-US"/>
        </w:rPr>
        <w:t>(3) Заповедите по ал. 1 се съобщават на лицето подало уведомлението по чл. 17. и могат да се обжалват по реда на Административнопроцесуалния кодекс.</w:t>
      </w:r>
    </w:p>
    <w:p>
      <w:pPr>
        <w:pStyle w:val="Normal"/>
        <w:widowControl w:val="false"/>
        <w:spacing w:lineRule="auto" w:line="360" w:before="120" w:after="0"/>
        <w:jc w:val="center"/>
        <w:rPr>
          <w:rFonts w:eastAsia="Times New Roman"/>
          <w:bCs/>
          <w:lang w:eastAsia="en-US"/>
        </w:rPr>
      </w:pPr>
      <w:r>
        <w:rPr>
          <w:bCs/>
          <w:lang w:eastAsia="en-US"/>
        </w:rPr>
        <w:t>Раздел IV</w:t>
      </w:r>
    </w:p>
    <w:p>
      <w:pPr>
        <w:pStyle w:val="Normal"/>
        <w:widowControl w:val="false"/>
        <w:spacing w:lineRule="auto" w:line="360"/>
        <w:jc w:val="center"/>
        <w:rPr>
          <w:rFonts w:eastAsia="Times New Roman"/>
          <w:b/>
          <w:b/>
          <w:bCs/>
          <w:lang w:eastAsia="en-US"/>
        </w:rPr>
      </w:pPr>
      <w:r>
        <w:rPr>
          <w:b/>
          <w:bCs/>
          <w:lang w:eastAsia="en-US"/>
        </w:rPr>
        <w:t>Ред за подготовка и представяне на искания до Европейската комисия за заличаване на вписване на защитено географско означение</w:t>
      </w:r>
    </w:p>
    <w:p>
      <w:pPr>
        <w:pStyle w:val="Normal"/>
        <w:widowControl w:val="false"/>
        <w:spacing w:lineRule="auto" w:line="360" w:before="120" w:after="0"/>
        <w:ind w:firstLine="720"/>
        <w:jc w:val="both"/>
        <w:rPr>
          <w:rFonts w:eastAsia="Times New Roman"/>
          <w:lang w:eastAsia="en-US"/>
        </w:rPr>
      </w:pPr>
      <w:r>
        <w:rPr>
          <w:b/>
          <w:bCs/>
          <w:lang w:eastAsia="en-US"/>
        </w:rPr>
        <w:t>Чл. 20.</w:t>
      </w:r>
      <w:r>
        <w:rPr>
          <w:lang w:eastAsia="en-US"/>
        </w:rPr>
        <w:t xml:space="preserve"> (1) Всяко заинтересовано лице с постоянен адрес или седалище в България може да подаде мотивирано искане до Европейската комисия за заличаване на вписване на защитено географско означение.</w:t>
      </w:r>
    </w:p>
    <w:p>
      <w:pPr>
        <w:pStyle w:val="Normal"/>
        <w:widowControl w:val="false"/>
        <w:spacing w:lineRule="auto" w:line="360"/>
        <w:ind w:firstLine="720"/>
        <w:jc w:val="both"/>
        <w:rPr>
          <w:rFonts w:eastAsia="Times New Roman"/>
          <w:lang w:eastAsia="en-US"/>
        </w:rPr>
      </w:pPr>
      <w:r>
        <w:rPr>
          <w:lang w:eastAsia="en-US"/>
        </w:rPr>
        <w:t>(2) Искането се подава до МЗХГ по образец съгласно Приложение № IX от Регламент за изпълнение (ЕС) № 668/2014.</w:t>
      </w:r>
    </w:p>
    <w:p>
      <w:pPr>
        <w:pStyle w:val="Normal"/>
        <w:widowControl w:val="false"/>
        <w:spacing w:lineRule="auto" w:line="360" w:before="120" w:after="0"/>
        <w:ind w:firstLine="709"/>
        <w:jc w:val="both"/>
        <w:rPr>
          <w:rFonts w:eastAsia="Times New Roman"/>
          <w:lang w:eastAsia="en-US"/>
        </w:rPr>
      </w:pPr>
      <w:r>
        <w:rPr>
          <w:b/>
          <w:bCs/>
          <w:lang w:eastAsia="en-US"/>
        </w:rPr>
        <w:t>Чл. 21.</w:t>
      </w:r>
      <w:r>
        <w:rPr>
          <w:lang w:eastAsia="en-US"/>
        </w:rPr>
        <w:t xml:space="preserve"> (1) Искането се разглежда от Комисията.</w:t>
      </w:r>
    </w:p>
    <w:p>
      <w:pPr>
        <w:pStyle w:val="Normal"/>
        <w:widowControl w:val="false"/>
        <w:spacing w:lineRule="auto" w:line="360" w:before="120" w:after="0"/>
        <w:ind w:firstLine="709"/>
        <w:jc w:val="both"/>
        <w:rPr>
          <w:lang w:eastAsia="en-US"/>
        </w:rPr>
      </w:pPr>
      <w:r>
        <w:rPr>
          <w:lang w:eastAsia="en-US"/>
        </w:rPr>
        <w:t>(2) Министърът на земеделието, храните и горите след запознаване със становището по ал. 1 на Комисията издава заповед за:</w:t>
      </w:r>
    </w:p>
    <w:p>
      <w:pPr>
        <w:pStyle w:val="Normal"/>
        <w:widowControl w:val="false"/>
        <w:spacing w:lineRule="auto" w:line="360" w:before="120" w:after="0"/>
        <w:ind w:firstLine="709"/>
        <w:jc w:val="both"/>
        <w:rPr>
          <w:lang w:eastAsia="en-US"/>
        </w:rPr>
      </w:pPr>
      <w:r>
        <w:rPr>
          <w:lang w:eastAsia="en-US"/>
        </w:rPr>
        <w:t>1. изпращане на искането за заличаване до Европейската комисия;</w:t>
      </w:r>
    </w:p>
    <w:p>
      <w:pPr>
        <w:pStyle w:val="Normal"/>
        <w:widowControl w:val="false"/>
        <w:spacing w:lineRule="auto" w:line="360" w:before="120" w:after="0"/>
        <w:ind w:firstLine="709"/>
        <w:jc w:val="both"/>
        <w:rPr>
          <w:lang w:eastAsia="en-US"/>
        </w:rPr>
      </w:pPr>
      <w:r>
        <w:rPr>
          <w:lang w:eastAsia="en-US"/>
        </w:rPr>
        <w:t>2. отказ.</w:t>
      </w:r>
    </w:p>
    <w:p>
      <w:pPr>
        <w:pStyle w:val="Normal"/>
        <w:widowControl w:val="false"/>
        <w:spacing w:lineRule="auto" w:line="360" w:before="120" w:after="0"/>
        <w:ind w:firstLine="709"/>
        <w:jc w:val="both"/>
        <w:rPr>
          <w:lang w:eastAsia="en-US"/>
        </w:rPr>
      </w:pPr>
      <w:r>
        <w:rPr>
          <w:lang w:eastAsia="en-US"/>
        </w:rPr>
        <w:t>(3) Заповедите по ал. 2  се съобщават в 3-дневен срок на лицето по чл. 20, ал. 1 и могат да се обжалват по реда на Административнопроцесуалния кодекс.</w:t>
      </w:r>
    </w:p>
    <w:p>
      <w:pPr>
        <w:pStyle w:val="Normal"/>
        <w:widowControl w:val="false"/>
        <w:spacing w:lineRule="auto" w:line="360" w:before="120" w:after="0"/>
        <w:jc w:val="center"/>
        <w:rPr>
          <w:rFonts w:eastAsia="Times New Roman"/>
          <w:bCs/>
          <w:lang w:eastAsia="en-US"/>
        </w:rPr>
      </w:pPr>
      <w:r>
        <w:rPr>
          <w:bCs/>
          <w:lang w:eastAsia="en-US"/>
        </w:rPr>
        <w:t>Раздел V</w:t>
      </w:r>
    </w:p>
    <w:p>
      <w:pPr>
        <w:pStyle w:val="Normal"/>
        <w:widowControl w:val="false"/>
        <w:spacing w:lineRule="auto" w:line="360"/>
        <w:jc w:val="center"/>
        <w:rPr>
          <w:rFonts w:eastAsia="Times New Roman"/>
          <w:b/>
          <w:b/>
          <w:lang w:eastAsia="en-US"/>
        </w:rPr>
      </w:pPr>
      <w:r>
        <w:rPr>
          <w:b/>
          <w:lang w:eastAsia="en-US"/>
        </w:rPr>
        <w:t>Ред и условия за предоставяне на временна национална защита</w:t>
      </w:r>
    </w:p>
    <w:p>
      <w:pPr>
        <w:pStyle w:val="Normal"/>
        <w:widowControl w:val="false"/>
        <w:spacing w:lineRule="auto" w:line="360" w:before="120" w:after="0"/>
        <w:ind w:firstLine="720"/>
        <w:jc w:val="both"/>
        <w:rPr>
          <w:rFonts w:eastAsia="Times New Roman"/>
          <w:lang w:eastAsia="en-US"/>
        </w:rPr>
      </w:pPr>
      <w:r>
        <w:rPr>
          <w:b/>
          <w:bCs/>
          <w:lang w:eastAsia="en-US"/>
        </w:rPr>
        <w:t>Чл. 22.</w:t>
      </w:r>
      <w:r>
        <w:rPr>
          <w:lang w:eastAsia="en-US"/>
        </w:rPr>
        <w:t xml:space="preserve"> (1) На наименованията, чиито заявления-спецификации са изпратени в Европейската комисия съгласно чл. 14, ал. 4, при поискване от заявителя, се предоставя временна национална защита в съответствие с чл. 9 на Регламент № 1151/2012. Временната национална защита включва забраните по чл. 13 на Регламент № 1151/2012. </w:t>
      </w:r>
    </w:p>
    <w:p>
      <w:pPr>
        <w:pStyle w:val="Normal"/>
        <w:widowControl w:val="false"/>
        <w:spacing w:lineRule="auto" w:line="360"/>
        <w:ind w:firstLine="720"/>
        <w:jc w:val="both"/>
        <w:rPr>
          <w:rFonts w:eastAsia="Times New Roman"/>
          <w:lang w:eastAsia="en-US"/>
        </w:rPr>
      </w:pPr>
      <w:r>
        <w:rPr>
          <w:lang w:eastAsia="en-US"/>
        </w:rPr>
        <w:t>(2) При употребата на наименование, което е обект на временна национална защита, към него не могат да се добавят думите „защитено наименование за произход” или „защитено географско указание”, както и съответният символ и абревиатура съгласно Регламент № 1151/2012.</w:t>
      </w:r>
    </w:p>
    <w:p>
      <w:pPr>
        <w:pStyle w:val="Normal"/>
        <w:widowControl w:val="false"/>
        <w:spacing w:lineRule="auto" w:line="360"/>
        <w:ind w:firstLine="720"/>
        <w:jc w:val="both"/>
        <w:rPr>
          <w:rFonts w:eastAsia="Times New Roman"/>
          <w:lang w:eastAsia="en-US"/>
        </w:rPr>
      </w:pPr>
      <w:r>
        <w:rPr>
          <w:lang w:eastAsia="en-US"/>
        </w:rPr>
        <w:t>(3) Временната национална защита се прилага само на територията на Република България, като земеделските продукти или храни, които са обект на защитата, подлежат на официален контрол съгласно чл. 25а от Закона за прилагане на Общата организация на пазарите на земеделски продукти на Европейския съюз (ЗПООПЗПЕС).</w:t>
      </w:r>
    </w:p>
    <w:p>
      <w:pPr>
        <w:pStyle w:val="Normal"/>
        <w:widowControl w:val="false"/>
        <w:spacing w:lineRule="auto" w:line="360"/>
        <w:ind w:firstLine="720"/>
        <w:jc w:val="both"/>
        <w:rPr>
          <w:rFonts w:eastAsia="Times New Roman"/>
          <w:lang w:eastAsia="en-US"/>
        </w:rPr>
      </w:pPr>
      <w:r>
        <w:rPr>
          <w:lang w:eastAsia="en-US"/>
        </w:rPr>
        <w:t xml:space="preserve">(4) Временна национална защита не се предоставя за наименование, чието заявление по чл. 23, ал. 1 е подадено след датата на подаване на заявление за регистрация на марка със същото наименование в Патентното ведомство на Република България или наименованието е вече регистрирано в Държавния регистър на марките. </w:t>
      </w:r>
    </w:p>
    <w:p>
      <w:pPr>
        <w:pStyle w:val="Normal"/>
        <w:widowControl w:val="false"/>
        <w:spacing w:lineRule="auto" w:line="360"/>
        <w:ind w:firstLine="720"/>
        <w:jc w:val="both"/>
        <w:rPr>
          <w:rFonts w:eastAsia="Times New Roman"/>
          <w:lang w:eastAsia="en-US"/>
        </w:rPr>
      </w:pPr>
      <w:r>
        <w:rPr>
          <w:lang w:eastAsia="en-US"/>
        </w:rPr>
        <w:t>(5) Временната национална защита се прекратява при вземането на решение на Европейската комисия за регистрация на наименованието в Европейския регистър на защитените наименования за произход и защитените географски указания, от датата на получаване на уведомлението за решението или при оттегляне на заявлението за регистрация от страна на заявителя съгласно Регламент № 1151/2012.</w:t>
      </w:r>
    </w:p>
    <w:p>
      <w:pPr>
        <w:pStyle w:val="Normal"/>
        <w:widowControl w:val="false"/>
        <w:spacing w:lineRule="auto" w:line="360" w:before="120" w:after="0"/>
        <w:ind w:firstLine="720"/>
        <w:jc w:val="both"/>
        <w:rPr>
          <w:rFonts w:eastAsia="Times New Roman"/>
          <w:lang w:eastAsia="en-US"/>
        </w:rPr>
      </w:pPr>
      <w:r>
        <w:rPr>
          <w:b/>
          <w:bCs/>
          <w:lang w:eastAsia="en-US"/>
        </w:rPr>
        <w:t>Чл. 23.</w:t>
      </w:r>
      <w:r>
        <w:rPr>
          <w:lang w:eastAsia="en-US"/>
        </w:rPr>
        <w:t xml:space="preserve"> (1) Временна национална защита се предоставя въз основа на писмено заявление в свободен текст от членовете на групата производители, подадено в МЗХГ.</w:t>
      </w:r>
    </w:p>
    <w:p>
      <w:pPr>
        <w:pStyle w:val="Normal"/>
        <w:widowControl w:val="false"/>
        <w:spacing w:lineRule="auto" w:line="360"/>
        <w:ind w:firstLine="720"/>
        <w:jc w:val="both"/>
        <w:rPr>
          <w:rFonts w:eastAsia="Times New Roman"/>
          <w:lang w:eastAsia="en-US"/>
        </w:rPr>
      </w:pPr>
      <w:r>
        <w:rPr>
          <w:lang w:eastAsia="en-US"/>
        </w:rPr>
        <w:t>(2) Към заявлението по ал. 1 се прилагат:</w:t>
      </w:r>
    </w:p>
    <w:p>
      <w:pPr>
        <w:pStyle w:val="Normal"/>
        <w:widowControl w:val="false"/>
        <w:spacing w:lineRule="auto" w:line="360"/>
        <w:ind w:firstLine="720"/>
        <w:jc w:val="both"/>
        <w:rPr>
          <w:rFonts w:eastAsia="Times New Roman"/>
          <w:lang w:eastAsia="en-US"/>
        </w:rPr>
      </w:pPr>
      <w:r>
        <w:rPr>
          <w:lang w:eastAsia="en-US"/>
        </w:rPr>
        <w:t>1. копие на договор с контролиращо лице;</w:t>
      </w:r>
    </w:p>
    <w:p>
      <w:pPr>
        <w:pStyle w:val="Normal"/>
        <w:widowControl w:val="false"/>
        <w:spacing w:lineRule="auto" w:line="360"/>
        <w:ind w:firstLine="720"/>
        <w:jc w:val="both"/>
        <w:rPr>
          <w:rFonts w:eastAsia="Times New Roman"/>
          <w:lang w:eastAsia="en-US"/>
        </w:rPr>
      </w:pPr>
      <w:r>
        <w:rPr>
          <w:lang w:eastAsia="en-US"/>
        </w:rPr>
        <w:t>2. копие на контролния лист от извършена проверка на място от контролиращото лице за съответствие с метода на производство и за съответствие на произведения продукт със спецификацията.</w:t>
      </w:r>
    </w:p>
    <w:p>
      <w:pPr>
        <w:pStyle w:val="Normal"/>
        <w:widowControl w:val="false"/>
        <w:spacing w:lineRule="auto" w:line="360"/>
        <w:ind w:firstLine="720"/>
        <w:jc w:val="both"/>
        <w:rPr>
          <w:rFonts w:eastAsia="Times New Roman"/>
          <w:lang w:eastAsia="en-US"/>
        </w:rPr>
      </w:pPr>
      <w:r>
        <w:rPr>
          <w:lang w:eastAsia="en-US"/>
        </w:rPr>
        <w:t>(3) Заявление по ал. 1 може да бъде подадено, след като министърът на земеделието, храните и горите е издал заповед за изпращането на заявлението спецификация до Европейската комисия в съответствие с чл. 14, ал. 1.</w:t>
      </w:r>
    </w:p>
    <w:p>
      <w:pPr>
        <w:pStyle w:val="Normal"/>
        <w:widowControl w:val="false"/>
        <w:spacing w:lineRule="auto" w:line="360" w:before="120" w:after="0"/>
        <w:ind w:firstLine="720"/>
        <w:jc w:val="both"/>
        <w:rPr>
          <w:rFonts w:eastAsia="Times New Roman"/>
          <w:lang w:eastAsia="en-US"/>
        </w:rPr>
      </w:pPr>
      <w:r>
        <w:rPr>
          <w:b/>
          <w:bCs/>
          <w:lang w:eastAsia="en-US"/>
        </w:rPr>
        <w:t>Чл. 24.</w:t>
      </w:r>
      <w:r>
        <w:rPr>
          <w:lang w:eastAsia="en-US"/>
        </w:rPr>
        <w:t xml:space="preserve"> (1) Компетентното звено в МЗХГ проверява подадените съгласно чл. 23 документи и когато установи непълноти и/или неточности в заявлението или липса на документи по чл. 23, ал. 2, уведомява заявителя писмено, като му предоставя едномесечен срок за тяхното отстраняване или за предоставяне на изискуемите документи. Срокът започва да тече от датата на получаване на уведомлението от заявителя.</w:t>
      </w:r>
      <w:r>
        <w:rPr>
          <w:rFonts w:eastAsia="Times New Roman"/>
          <w:lang w:eastAsia="en-US"/>
        </w:rPr>
        <w:t xml:space="preserve"> </w:t>
      </w:r>
    </w:p>
    <w:p>
      <w:pPr>
        <w:pStyle w:val="Normal"/>
        <w:widowControl w:val="false"/>
        <w:spacing w:lineRule="auto" w:line="360"/>
        <w:ind w:firstLine="720"/>
        <w:jc w:val="both"/>
        <w:rPr>
          <w:rFonts w:eastAsia="Times New Roman"/>
          <w:lang w:eastAsia="en-US"/>
        </w:rPr>
      </w:pPr>
      <w:r>
        <w:rPr>
          <w:lang w:eastAsia="en-US"/>
        </w:rPr>
        <w:t>(2) Когато в предоставения по ал. 1 срок заявителят не отстрани непълнотите и/или неточностите, или не предостави изискуемите документи, производството</w:t>
      </w:r>
      <w:r>
        <w:rPr>
          <w:rFonts w:eastAsia="Times New Roman"/>
          <w:lang w:eastAsia="en-US"/>
        </w:rPr>
        <w:t xml:space="preserve"> </w:t>
      </w:r>
      <w:r>
        <w:rPr>
          <w:lang w:eastAsia="en-US"/>
        </w:rPr>
        <w:t>за предоставяне на временна национална защита се прекратява със заповед на министъра на земеделието, храните и горите</w:t>
      </w:r>
      <w:r>
        <w:rPr>
          <w:rFonts w:eastAsia="Times New Roman"/>
          <w:lang w:eastAsia="en-US"/>
        </w:rPr>
        <w:t>.</w:t>
      </w:r>
    </w:p>
    <w:p>
      <w:pPr>
        <w:pStyle w:val="Normal"/>
        <w:widowControl w:val="false"/>
        <w:spacing w:lineRule="auto" w:line="360"/>
        <w:ind w:firstLine="720"/>
        <w:jc w:val="both"/>
        <w:rPr>
          <w:rFonts w:eastAsia="Times New Roman"/>
          <w:lang w:eastAsia="en-US"/>
        </w:rPr>
      </w:pPr>
      <w:r>
        <w:rPr>
          <w:lang w:eastAsia="en-US"/>
        </w:rPr>
        <w:t>(3) Компетентното звено в МЗХГ изготвя доклад за постъпилото заявление по чл. 23, ал. 1 до Комисията, която разглежда заявлението и приложените към него документи и доклада на компетентното звено и предлага на министъра на земеделието, храните и горите</w:t>
      </w:r>
      <w:r>
        <w:rPr>
          <w:rFonts w:eastAsia="Times New Roman"/>
          <w:lang w:eastAsia="en-US"/>
        </w:rPr>
        <w:t xml:space="preserve"> </w:t>
      </w:r>
      <w:r>
        <w:rPr>
          <w:lang w:eastAsia="en-US"/>
        </w:rPr>
        <w:t>становище за одобрение на искането за предоставяне на временна национална защита или за мотивиран отказ.</w:t>
      </w:r>
    </w:p>
    <w:p>
      <w:pPr>
        <w:pStyle w:val="Normal"/>
        <w:widowControl w:val="false"/>
        <w:spacing w:lineRule="auto" w:line="360" w:before="120" w:after="0"/>
        <w:ind w:firstLine="720"/>
        <w:jc w:val="both"/>
        <w:rPr>
          <w:rFonts w:eastAsia="Times New Roman"/>
          <w:lang w:eastAsia="en-US"/>
        </w:rPr>
      </w:pPr>
      <w:r>
        <w:rPr>
          <w:b/>
          <w:bCs/>
          <w:lang w:eastAsia="en-US"/>
        </w:rPr>
        <w:t>Чл. 25.</w:t>
      </w:r>
      <w:r>
        <w:rPr>
          <w:lang w:eastAsia="en-US"/>
        </w:rPr>
        <w:t xml:space="preserve"> (1) Министърът на земеделието, храните и горите след запознаване със становището по чл. 24, ал. 3 на Комисията издава заповед за</w:t>
      </w:r>
      <w:r>
        <w:rPr>
          <w:rFonts w:eastAsia="Times New Roman"/>
          <w:lang w:eastAsia="en-US"/>
        </w:rPr>
        <w:t>:</w:t>
      </w:r>
    </w:p>
    <w:p>
      <w:pPr>
        <w:pStyle w:val="Normal"/>
        <w:widowControl w:val="false"/>
        <w:spacing w:lineRule="auto" w:line="360" w:before="120" w:after="0"/>
        <w:ind w:firstLine="720"/>
        <w:jc w:val="both"/>
        <w:rPr>
          <w:rFonts w:eastAsia="Times New Roman"/>
          <w:strike/>
          <w:lang w:eastAsia="en-US"/>
        </w:rPr>
      </w:pPr>
      <w:r>
        <w:rPr>
          <w:rFonts w:eastAsia="Times New Roman"/>
          <w:lang w:eastAsia="en-US"/>
        </w:rPr>
        <w:t>1.</w:t>
      </w:r>
      <w:r>
        <w:rPr>
          <w:lang w:eastAsia="en-US"/>
        </w:rPr>
        <w:t xml:space="preserve"> предоставянето на временна национална защита;</w:t>
      </w:r>
    </w:p>
    <w:p>
      <w:pPr>
        <w:pStyle w:val="Normal"/>
        <w:widowControl w:val="false"/>
        <w:spacing w:lineRule="auto" w:line="360" w:before="120" w:after="0"/>
        <w:ind w:firstLine="720"/>
        <w:jc w:val="both"/>
        <w:rPr>
          <w:rFonts w:eastAsia="Times New Roman"/>
          <w:lang w:eastAsia="en-US"/>
        </w:rPr>
      </w:pPr>
      <w:r>
        <w:rPr>
          <w:rFonts w:eastAsia="Times New Roman"/>
          <w:lang w:eastAsia="en-US"/>
        </w:rPr>
        <w:t>2.</w:t>
      </w:r>
      <w:r>
        <w:rPr>
          <w:lang w:eastAsia="en-US"/>
        </w:rPr>
        <w:t xml:space="preserve"> отказ.</w:t>
      </w:r>
    </w:p>
    <w:p>
      <w:pPr>
        <w:pStyle w:val="Normal"/>
        <w:widowControl w:val="false"/>
        <w:spacing w:lineRule="auto" w:line="360"/>
        <w:ind w:firstLine="720"/>
        <w:jc w:val="both"/>
        <w:rPr>
          <w:rFonts w:eastAsia="Times New Roman"/>
          <w:lang w:eastAsia="en-US"/>
        </w:rPr>
      </w:pPr>
      <w:r>
        <w:rPr>
          <w:lang w:eastAsia="en-US"/>
        </w:rPr>
        <w:t>(2) Заповедите по ал. 1 се съобщават в 3-дневен срок</w:t>
      </w:r>
      <w:r>
        <w:rPr>
          <w:rFonts w:eastAsia="Times New Roman"/>
          <w:lang w:eastAsia="en-US"/>
        </w:rPr>
        <w:t xml:space="preserve"> </w:t>
      </w:r>
      <w:r>
        <w:rPr>
          <w:lang w:eastAsia="en-US"/>
        </w:rPr>
        <w:t>на заявителя и на всички заинтересовани лица. Отказът за предоставяне на временна национална защита подлежи на обжалване по реда на Административнопроцесуалния кодекс.</w:t>
      </w:r>
    </w:p>
    <w:p>
      <w:pPr>
        <w:pStyle w:val="Normal"/>
        <w:widowControl w:val="false"/>
        <w:spacing w:lineRule="auto" w:line="360"/>
        <w:ind w:firstLine="720"/>
        <w:jc w:val="both"/>
        <w:rPr>
          <w:rFonts w:eastAsia="Times New Roman"/>
          <w:lang w:eastAsia="en-US"/>
        </w:rPr>
      </w:pPr>
      <w:r>
        <w:rPr>
          <w:lang w:eastAsia="en-US"/>
        </w:rPr>
        <w:t xml:space="preserve">(3) Членовете на групата производители, подала заявление по чл. 23, се вписват служебно в регистъра на производителите на съответния продукт, който получава временна национална закрила. </w:t>
      </w:r>
    </w:p>
    <w:p>
      <w:pPr>
        <w:pStyle w:val="Normal"/>
        <w:widowControl w:val="false"/>
        <w:spacing w:lineRule="auto" w:line="360"/>
        <w:ind w:firstLine="720"/>
        <w:jc w:val="both"/>
        <w:rPr>
          <w:rFonts w:eastAsia="Times New Roman"/>
          <w:lang w:eastAsia="en-US"/>
        </w:rPr>
      </w:pPr>
      <w:r>
        <w:rPr>
          <w:lang w:eastAsia="en-US"/>
        </w:rPr>
        <w:t>(4) Производител, който не членува в групата производители по чл. 23, ал. 1 или се е присъединил към нея след изпращане на заявлението спецификация в ЕК, може да подаде писмено заявление съгласно чл. 23, ал. 1 за предоставяне на временна национална защита, за да бъде вписан в регистъра по ал. 3.</w:t>
      </w:r>
    </w:p>
    <w:p>
      <w:pPr>
        <w:pStyle w:val="Normal"/>
        <w:widowControl w:val="false"/>
        <w:spacing w:lineRule="auto" w:line="360"/>
        <w:ind w:firstLine="720"/>
        <w:jc w:val="both"/>
        <w:rPr>
          <w:rFonts w:eastAsia="Times New Roman"/>
          <w:lang w:eastAsia="en-US"/>
        </w:rPr>
      </w:pPr>
      <w:r>
        <w:rPr>
          <w:lang w:eastAsia="en-US"/>
        </w:rPr>
        <w:t>(5) Заявлението по ал. 4 се разглежда по реда на чл. 24 – 25.</w:t>
      </w:r>
    </w:p>
    <w:p>
      <w:pPr>
        <w:pStyle w:val="Normal"/>
        <w:widowControl w:val="false"/>
        <w:spacing w:lineRule="auto" w:line="360" w:before="240" w:after="0"/>
        <w:jc w:val="center"/>
        <w:rPr>
          <w:rFonts w:eastAsia="Times New Roman"/>
          <w:bCs/>
          <w:spacing w:val="100"/>
          <w:lang w:eastAsia="en-US"/>
        </w:rPr>
      </w:pPr>
      <w:r>
        <w:rPr>
          <w:bCs/>
          <w:spacing w:val="100"/>
          <w:lang w:eastAsia="en-US"/>
        </w:rPr>
        <w:t>Глава пета</w:t>
      </w:r>
    </w:p>
    <w:p>
      <w:pPr>
        <w:pStyle w:val="Normal"/>
        <w:widowControl w:val="false"/>
        <w:spacing w:lineRule="auto" w:line="360"/>
        <w:jc w:val="center"/>
        <w:rPr>
          <w:rFonts w:eastAsia="Times New Roman"/>
          <w:bCs/>
          <w:lang w:eastAsia="en-US"/>
        </w:rPr>
      </w:pPr>
      <w:r>
        <w:rPr>
          <w:bCs/>
          <w:lang w:eastAsia="en-US"/>
        </w:rPr>
        <w:t>РЕД ЗА ПОДГОТОВКА И ПРЕДСТАВЯНЕ НА ИСКАНИЯ ДО ЕВРОПЕЙСКАТА КОМИСИЯ ЗА</w:t>
      </w:r>
      <w:r>
        <w:rPr>
          <w:rFonts w:eastAsia="Times New Roman"/>
          <w:bCs/>
          <w:lang w:eastAsia="en-US"/>
        </w:rPr>
        <w:t xml:space="preserve"> </w:t>
      </w:r>
      <w:r>
        <w:rPr>
          <w:bCs/>
          <w:lang w:eastAsia="en-US"/>
        </w:rPr>
        <w:t>ВПИСВАНЕ, ИЗМЕНЕНИЕ, ВЪЗРАЖЕНИЕ И ЗАЛИЧАВАНЕ НА ВПИСВАНЕ В ЕВРОПЕЙСКИЯ</w:t>
      </w:r>
      <w:r>
        <w:rPr>
          <w:rFonts w:eastAsia="Times New Roman"/>
          <w:bCs/>
          <w:lang w:eastAsia="en-US"/>
        </w:rPr>
        <w:t xml:space="preserve"> </w:t>
      </w:r>
      <w:r>
        <w:rPr>
          <w:bCs/>
          <w:lang w:eastAsia="en-US"/>
        </w:rPr>
        <w:t>РЕГИСТЪР НА ХРАНИТЕ С ТРАДИЦИОННО СПЕЦИФИЧЕН ХАРАКТЕР</w:t>
      </w:r>
    </w:p>
    <w:p>
      <w:pPr>
        <w:pStyle w:val="Normal"/>
        <w:widowControl w:val="false"/>
        <w:spacing w:lineRule="auto" w:line="360" w:before="120" w:after="0"/>
        <w:jc w:val="center"/>
        <w:rPr>
          <w:rFonts w:eastAsia="Times New Roman"/>
          <w:bCs/>
          <w:lang w:eastAsia="en-US"/>
        </w:rPr>
      </w:pPr>
      <w:r>
        <w:rPr>
          <w:bCs/>
          <w:lang w:eastAsia="en-US"/>
        </w:rPr>
        <w:t>Раздел I</w:t>
      </w:r>
    </w:p>
    <w:p>
      <w:pPr>
        <w:pStyle w:val="Normal"/>
        <w:widowControl w:val="false"/>
        <w:spacing w:lineRule="auto" w:line="360"/>
        <w:jc w:val="center"/>
        <w:rPr>
          <w:rFonts w:eastAsia="Times New Roman"/>
          <w:b/>
          <w:b/>
          <w:bCs/>
          <w:lang w:eastAsia="en-US"/>
        </w:rPr>
      </w:pPr>
      <w:r>
        <w:rPr>
          <w:b/>
          <w:bCs/>
          <w:lang w:eastAsia="en-US"/>
        </w:rPr>
        <w:t>Ред за подготовка и представяне на искания до Европейската комисия за вписване в Европейския регистър на храните с традиционно специфичен характер</w:t>
      </w:r>
    </w:p>
    <w:p>
      <w:pPr>
        <w:pStyle w:val="Normal"/>
        <w:widowControl w:val="false"/>
        <w:spacing w:lineRule="auto" w:line="360" w:before="120" w:after="0"/>
        <w:ind w:firstLine="720"/>
        <w:jc w:val="both"/>
        <w:rPr>
          <w:lang w:eastAsia="en-US"/>
        </w:rPr>
      </w:pPr>
      <w:r>
        <w:rPr>
          <w:b/>
          <w:bCs/>
          <w:lang w:eastAsia="en-US"/>
        </w:rPr>
        <w:t>Чл. 26.</w:t>
      </w:r>
      <w:r>
        <w:rPr>
          <w:lang w:eastAsia="en-US"/>
        </w:rPr>
        <w:t xml:space="preserve"> (1) Групата от производители подава в МЗХГ заявление за регистрация на храна с традиционно специфичен характер в съответствие с чл. 20 на Регламент № 1151/2012.</w:t>
      </w:r>
    </w:p>
    <w:p>
      <w:pPr>
        <w:pStyle w:val="Normal"/>
        <w:widowControl w:val="false"/>
        <w:spacing w:lineRule="auto" w:line="360" w:before="120" w:after="0"/>
        <w:ind w:firstLine="720"/>
        <w:jc w:val="both"/>
        <w:rPr>
          <w:rFonts w:eastAsia="Times New Roman"/>
          <w:lang w:eastAsia="en-US"/>
        </w:rPr>
      </w:pPr>
      <w:r>
        <w:rPr>
          <w:rFonts w:eastAsia="Times New Roman"/>
          <w:lang w:eastAsia="en-US"/>
        </w:rPr>
        <w:t>(2) 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 и към него се прилагат:</w:t>
      </w:r>
    </w:p>
    <w:p>
      <w:pPr>
        <w:pStyle w:val="Normal"/>
        <w:widowControl w:val="false"/>
        <w:spacing w:lineRule="auto" w:line="360"/>
        <w:ind w:firstLine="720"/>
        <w:jc w:val="both"/>
        <w:rPr>
          <w:lang w:eastAsia="en-US"/>
        </w:rPr>
      </w:pPr>
      <w:r>
        <w:rPr>
          <w:lang w:eastAsia="en-US"/>
        </w:rPr>
        <w:t>1. списък на членовете на групата от производители;</w:t>
      </w:r>
    </w:p>
    <w:p>
      <w:pPr>
        <w:pStyle w:val="Normal"/>
        <w:widowControl w:val="false"/>
        <w:spacing w:lineRule="auto" w:line="360"/>
        <w:ind w:firstLine="720"/>
        <w:jc w:val="both"/>
        <w:rPr>
          <w:rFonts w:eastAsia="Times New Roman"/>
          <w:lang w:eastAsia="en-US"/>
        </w:rPr>
      </w:pPr>
      <w:r>
        <w:rPr>
          <w:rFonts w:eastAsia="Times New Roman"/>
          <w:lang w:eastAsia="en-US"/>
        </w:rPr>
        <w:t>2. продуктова спецификация съгласно Приложение № II от Регламент за изпълнение (ЕС) № 668/2014, отговаряща на изискванията на чл. 3 на делегиран Регламент (ЕС) № 664/2014</w:t>
      </w:r>
    </w:p>
    <w:p>
      <w:pPr>
        <w:pStyle w:val="Normal"/>
        <w:widowControl w:val="false"/>
        <w:spacing w:lineRule="auto" w:line="360"/>
        <w:ind w:firstLine="720"/>
        <w:jc w:val="both"/>
        <w:rPr>
          <w:rFonts w:eastAsia="Times New Roman"/>
          <w:lang w:eastAsia="en-US"/>
        </w:rPr>
      </w:pPr>
      <w:r>
        <w:rPr>
          <w:lang w:eastAsia="en-US"/>
        </w:rPr>
        <w:t>3. правила, регламентиращи спазването на продуктовата спецификация;</w:t>
      </w:r>
    </w:p>
    <w:p>
      <w:pPr>
        <w:pStyle w:val="Normal"/>
        <w:widowControl w:val="false"/>
        <w:spacing w:lineRule="auto" w:line="360"/>
        <w:ind w:firstLine="720"/>
        <w:jc w:val="both"/>
        <w:rPr>
          <w:rFonts w:eastAsia="Times New Roman"/>
          <w:lang w:eastAsia="en-US"/>
        </w:rPr>
      </w:pPr>
      <w:r>
        <w:rPr>
          <w:lang w:eastAsia="en-US"/>
        </w:rPr>
        <w:t>4. декларация съгласно приложение № 2 от всеки член на групата по ал. 1;</w:t>
      </w:r>
    </w:p>
    <w:p>
      <w:pPr>
        <w:pStyle w:val="Normal"/>
        <w:widowControl w:val="false"/>
        <w:spacing w:lineRule="auto" w:line="360"/>
        <w:ind w:firstLine="720"/>
        <w:jc w:val="both"/>
        <w:rPr>
          <w:rFonts w:eastAsia="Times New Roman"/>
          <w:lang w:eastAsia="en-US"/>
        </w:rPr>
      </w:pPr>
      <w:r>
        <w:rPr>
          <w:lang w:eastAsia="en-US"/>
        </w:rPr>
        <w:t>5. кратко описание на помещенията и техническото оборудване;</w:t>
      </w:r>
    </w:p>
    <w:p>
      <w:pPr>
        <w:pStyle w:val="Normal"/>
        <w:widowControl w:val="false"/>
        <w:spacing w:lineRule="auto" w:line="360"/>
        <w:ind w:firstLine="720"/>
        <w:jc w:val="both"/>
        <w:rPr>
          <w:rFonts w:eastAsia="Times New Roman"/>
          <w:lang w:eastAsia="en-US"/>
        </w:rPr>
      </w:pPr>
      <w:r>
        <w:rPr>
          <w:lang w:eastAsia="en-US"/>
        </w:rPr>
        <w:t>6. доказателства за традиционния характер на суровините, традиционния състав на храните и/или традиционния начин на производство или преработка;</w:t>
      </w:r>
    </w:p>
    <w:p>
      <w:pPr>
        <w:pStyle w:val="Normal"/>
        <w:widowControl w:val="false"/>
        <w:spacing w:lineRule="auto" w:line="360"/>
        <w:ind w:firstLine="720"/>
        <w:jc w:val="both"/>
        <w:rPr>
          <w:rFonts w:eastAsia="Times New Roman"/>
          <w:lang w:eastAsia="en-US"/>
        </w:rPr>
      </w:pPr>
      <w:r>
        <w:rPr>
          <w:lang w:eastAsia="en-US"/>
        </w:rPr>
        <w:t>7. опис на всички подадени документи с посочен брой на страниците.</w:t>
      </w:r>
    </w:p>
    <w:p>
      <w:pPr>
        <w:pStyle w:val="Normal"/>
        <w:widowControl w:val="false"/>
        <w:spacing w:lineRule="auto" w:line="360"/>
        <w:ind w:firstLine="720"/>
        <w:jc w:val="both"/>
        <w:rPr>
          <w:rFonts w:eastAsia="Times New Roman"/>
          <w:lang w:eastAsia="en-US"/>
        </w:rPr>
      </w:pPr>
      <w:r>
        <w:rPr>
          <w:lang w:eastAsia="en-US"/>
        </w:rPr>
        <w:t>(3) В случай на съвместно заявление по чл. 49, параграф 1 от Регламент № 1151/2012 условията по ал. 1 и ал. 2 се отнасят само до групата производители със седалище в България.</w:t>
      </w:r>
    </w:p>
    <w:p>
      <w:pPr>
        <w:pStyle w:val="Normal"/>
        <w:widowControl w:val="false"/>
        <w:spacing w:lineRule="auto" w:line="360" w:before="120" w:after="0"/>
        <w:ind w:firstLine="720"/>
        <w:jc w:val="both"/>
        <w:rPr>
          <w:rFonts w:eastAsia="Times New Roman"/>
          <w:lang w:eastAsia="en-US"/>
        </w:rPr>
      </w:pPr>
      <w:r>
        <w:rPr>
          <w:b/>
          <w:bCs/>
          <w:lang w:eastAsia="en-US"/>
        </w:rPr>
        <w:t>Чл. 27.</w:t>
      </w:r>
      <w:r>
        <w:rPr>
          <w:lang w:eastAsia="en-US"/>
        </w:rPr>
        <w:t xml:space="preserve"> (1) Индивидуален производител подава заявление за регистрация и продуктова спецификация по реда на чл. 26.</w:t>
      </w:r>
    </w:p>
    <w:p>
      <w:pPr>
        <w:pStyle w:val="Normal"/>
        <w:widowControl w:val="false"/>
        <w:spacing w:lineRule="auto" w:line="360"/>
        <w:ind w:firstLine="720"/>
        <w:jc w:val="both"/>
        <w:rPr>
          <w:rFonts w:eastAsia="Times New Roman"/>
          <w:lang w:eastAsia="en-US"/>
        </w:rPr>
      </w:pPr>
      <w:r>
        <w:rPr>
          <w:lang w:eastAsia="en-US"/>
        </w:rPr>
        <w:t>(2) Към заявлението се прилагат съответно документите по чл. 26, ал. 2, т. 2 – 7.</w:t>
      </w:r>
    </w:p>
    <w:p>
      <w:pPr>
        <w:pStyle w:val="Normal"/>
        <w:widowControl w:val="false"/>
        <w:spacing w:lineRule="auto" w:line="360" w:before="120" w:after="0"/>
        <w:ind w:firstLine="720"/>
        <w:jc w:val="both"/>
        <w:rPr>
          <w:rFonts w:eastAsia="Times New Roman"/>
          <w:lang w:eastAsia="en-US"/>
        </w:rPr>
      </w:pPr>
      <w:r>
        <w:rPr>
          <w:b/>
          <w:bCs/>
          <w:lang w:eastAsia="en-US"/>
        </w:rPr>
        <w:t>Чл. 28.</w:t>
      </w:r>
      <w:r>
        <w:rPr>
          <w:lang w:eastAsia="en-US"/>
        </w:rPr>
        <w:t xml:space="preserve"> (1) Компетентното звено в МЗХГ проверява подадените документи съгласно чл. 26 или чл. 27 и когато установи непълноти и/или неточности или липса на изискуемите документи по чл. 26, ал. 2, уведомява писмено заявителя и му се предоставя едномесечен срок за отстраняването им и/или за предоставяне на изискуемите документи. Срокът започва да тече от датата на получаване на уведомлението.</w:t>
      </w:r>
    </w:p>
    <w:p>
      <w:pPr>
        <w:pStyle w:val="Normal"/>
        <w:widowControl w:val="false"/>
        <w:spacing w:lineRule="auto" w:line="360"/>
        <w:ind w:firstLine="720"/>
        <w:jc w:val="both"/>
        <w:rPr>
          <w:rFonts w:eastAsia="Times New Roman"/>
          <w:lang w:eastAsia="en-US"/>
        </w:rPr>
      </w:pPr>
      <w:r>
        <w:rPr>
          <w:lang w:eastAsia="en-US"/>
        </w:rPr>
        <w:t>(2) Когато в предоставения срок заявителят не отстрани непълнотите и/или неточностите и/или не представи изискуемите документи, производството се прекратява</w:t>
      </w:r>
      <w:r>
        <w:rPr>
          <w:rFonts w:eastAsia="Times New Roman"/>
          <w:lang w:eastAsia="en-US"/>
        </w:rPr>
        <w:t xml:space="preserve"> </w:t>
      </w:r>
      <w:r>
        <w:rPr>
          <w:lang w:eastAsia="en-US"/>
        </w:rPr>
        <w:t>със заповед ни министъра на земеделието, храните и горите</w:t>
      </w:r>
      <w:r>
        <w:rPr>
          <w:rFonts w:eastAsia="Times New Roman"/>
          <w:lang w:eastAsia="en-US"/>
        </w:rPr>
        <w:t>.</w:t>
      </w:r>
    </w:p>
    <w:p>
      <w:pPr>
        <w:pStyle w:val="Normal"/>
        <w:widowControl w:val="false"/>
        <w:spacing w:lineRule="auto" w:line="360"/>
        <w:ind w:firstLine="720"/>
        <w:jc w:val="both"/>
        <w:rPr>
          <w:rFonts w:eastAsia="Times New Roman"/>
          <w:lang w:eastAsia="en-US"/>
        </w:rPr>
      </w:pPr>
      <w:r>
        <w:rPr>
          <w:lang w:eastAsia="en-US"/>
        </w:rPr>
        <w:t>(3) Процедурата по вписване се прекратява и по молба на заявителя</w:t>
      </w:r>
      <w:r>
        <w:rPr>
          <w:rFonts w:eastAsia="Times New Roman"/>
          <w:lang w:eastAsia="en-US"/>
        </w:rPr>
        <w:t xml:space="preserve"> </w:t>
      </w:r>
      <w:r>
        <w:rPr>
          <w:lang w:eastAsia="en-US"/>
        </w:rPr>
        <w:t>по реда на ал. 2</w:t>
      </w:r>
      <w:r>
        <w:rPr>
          <w:rFonts w:eastAsia="Times New Roman"/>
          <w:lang w:eastAsia="en-US"/>
        </w:rPr>
        <w:t>.</w:t>
      </w:r>
    </w:p>
    <w:p>
      <w:pPr>
        <w:pStyle w:val="Normal"/>
        <w:widowControl w:val="false"/>
        <w:spacing w:lineRule="auto" w:line="360"/>
        <w:ind w:firstLine="720"/>
        <w:jc w:val="both"/>
        <w:rPr>
          <w:rFonts w:eastAsia="Times New Roman"/>
          <w:lang w:eastAsia="en-US"/>
        </w:rPr>
      </w:pPr>
      <w:r>
        <w:rPr>
          <w:rFonts w:eastAsia="Times New Roman"/>
          <w:lang w:eastAsia="en-US"/>
        </w:rPr>
        <w:t xml:space="preserve">(4) </w:t>
      </w:r>
      <w:r>
        <w:rPr>
          <w:lang w:eastAsia="en-US"/>
        </w:rPr>
        <w:t>Заповедите по ал. 2 и 3 се съобщават в 3-дневен срок и могат да се обжалват по реда на Административнопроцесуалния кодекс</w:t>
      </w:r>
      <w:r>
        <w:rPr>
          <w:rFonts w:eastAsia="Times New Roman"/>
          <w:lang w:eastAsia="en-US"/>
        </w:rPr>
        <w:t>.</w:t>
      </w:r>
    </w:p>
    <w:p>
      <w:pPr>
        <w:pStyle w:val="Normal"/>
        <w:widowControl w:val="false"/>
        <w:spacing w:lineRule="auto" w:line="360" w:before="120" w:after="0"/>
        <w:ind w:firstLine="720"/>
        <w:jc w:val="both"/>
        <w:rPr>
          <w:rFonts w:eastAsia="Times New Roman"/>
          <w:lang w:eastAsia="en-US"/>
        </w:rPr>
      </w:pPr>
      <w:r>
        <w:rPr>
          <w:b/>
          <w:bCs/>
          <w:lang w:eastAsia="en-US"/>
        </w:rPr>
        <w:t>Чл. 29.</w:t>
      </w:r>
      <w:r>
        <w:rPr>
          <w:lang w:eastAsia="en-US"/>
        </w:rPr>
        <w:t xml:space="preserve"> (1) Компетентното звено в МЗХГ извършва документална проверка и проверка на място дали са изпълнени условията за вписване в Европейския регистър на храните с традиционно специфичен характер съгласно регламенти 1151/2012, 664/2014 и 668/2014 и изготвя доклад до комисията по чл. 2. При необходимост в проверките могат да участват и други длъжностни лица.</w:t>
      </w:r>
    </w:p>
    <w:p>
      <w:pPr>
        <w:pStyle w:val="Normal"/>
        <w:widowControl w:val="false"/>
        <w:spacing w:lineRule="auto" w:line="360"/>
        <w:ind w:firstLine="720"/>
        <w:jc w:val="both"/>
        <w:rPr>
          <w:rFonts w:eastAsia="Times New Roman"/>
          <w:lang w:eastAsia="en-US"/>
        </w:rPr>
      </w:pPr>
      <w:r>
        <w:rPr>
          <w:lang w:eastAsia="en-US"/>
        </w:rPr>
        <w:t>(2) Министърът на земеделието, храните и горите със заповед определя длъжностни лица, които извършват проверка на място на производството и/или преработката на земеделския продукт или храна.</w:t>
      </w:r>
    </w:p>
    <w:p>
      <w:pPr>
        <w:pStyle w:val="Normal"/>
        <w:widowControl w:val="false"/>
        <w:spacing w:lineRule="auto" w:line="360"/>
        <w:ind w:firstLine="720"/>
        <w:jc w:val="both"/>
        <w:rPr>
          <w:rFonts w:eastAsia="Times New Roman"/>
          <w:lang w:eastAsia="en-US"/>
        </w:rPr>
      </w:pPr>
      <w:r>
        <w:rPr>
          <w:lang w:eastAsia="en-US"/>
        </w:rPr>
        <w:t>(3) При проверката по ал. 1 длъжностните лица попълват контролен лист съгласно приложение № 3.</w:t>
      </w:r>
    </w:p>
    <w:p>
      <w:pPr>
        <w:pStyle w:val="Normal"/>
        <w:widowControl w:val="false"/>
        <w:spacing w:lineRule="auto" w:line="360"/>
        <w:ind w:firstLine="720"/>
        <w:jc w:val="both"/>
        <w:rPr>
          <w:rFonts w:eastAsia="Times New Roman"/>
          <w:lang w:eastAsia="en-US"/>
        </w:rPr>
      </w:pPr>
      <w:r>
        <w:rPr>
          <w:lang w:eastAsia="en-US"/>
        </w:rPr>
        <w:t>(4) Длъжностните лица подписват декларация, че се задължават да не разгласяват обстоятелства от дейността на проверяваните лица, станали им известни при извършване на проверките, и за липса на конфликт на интереси по смисъла на Закона за противодействие на корупцията и за отнемане на незаконно придобитото имущество.</w:t>
      </w:r>
    </w:p>
    <w:p>
      <w:pPr>
        <w:pStyle w:val="Normal"/>
        <w:widowControl w:val="false"/>
        <w:spacing w:lineRule="auto" w:line="360" w:before="120" w:after="0"/>
        <w:ind w:firstLine="720"/>
        <w:jc w:val="both"/>
        <w:rPr>
          <w:rFonts w:eastAsia="Times New Roman"/>
          <w:lang w:eastAsia="en-US"/>
        </w:rPr>
      </w:pPr>
      <w:r>
        <w:rPr>
          <w:b/>
          <w:bCs/>
          <w:lang w:eastAsia="en-US"/>
        </w:rPr>
        <w:t>Чл. 30.</w:t>
      </w:r>
      <w:r>
        <w:rPr>
          <w:lang w:eastAsia="en-US"/>
        </w:rPr>
        <w:t xml:space="preserve"> (1) Информация за подадено заявление-спецификация се публикува на интернет страницата на МЗХГ и в един централен ежедневник в срок 14 дни от приключване на проверката на място по чл. 29.</w:t>
      </w:r>
      <w:r>
        <w:rPr>
          <w:rFonts w:eastAsia="Times New Roman"/>
          <w:lang w:eastAsia="en-US"/>
        </w:rPr>
        <w:t xml:space="preserve"> </w:t>
      </w:r>
      <w:r>
        <w:rPr>
          <w:lang w:eastAsia="en-US"/>
        </w:rPr>
        <w:t>Информацията включва наименованието на заявителя, наименованието на земеделския продукт или храна и указание за право на възражение и срока за упражняването му.</w:t>
      </w:r>
    </w:p>
    <w:p>
      <w:pPr>
        <w:pStyle w:val="Normal"/>
        <w:widowControl w:val="false"/>
        <w:spacing w:lineRule="auto" w:line="360"/>
        <w:ind w:firstLine="720"/>
        <w:jc w:val="both"/>
        <w:rPr>
          <w:rFonts w:eastAsia="Times New Roman"/>
          <w:lang w:eastAsia="en-US"/>
        </w:rPr>
      </w:pPr>
      <w:r>
        <w:rPr>
          <w:lang w:eastAsia="en-US"/>
        </w:rPr>
        <w:t>(2) Пълният текст на подадено заявление-спецификация съгласно чл. 26, ал. 1 или чл. 27, ал. 1 се публикува на интернет страницата на МЗХГ в срока по ал. 1</w:t>
      </w:r>
      <w:r>
        <w:rPr>
          <w:rFonts w:eastAsia="Times New Roman"/>
          <w:lang w:eastAsia="en-US"/>
        </w:rPr>
        <w:t>.</w:t>
      </w:r>
    </w:p>
    <w:p>
      <w:pPr>
        <w:pStyle w:val="Normal"/>
        <w:widowControl w:val="false"/>
        <w:spacing w:lineRule="auto" w:line="360"/>
        <w:ind w:firstLine="720"/>
        <w:jc w:val="both"/>
        <w:rPr>
          <w:rFonts w:eastAsia="Times New Roman"/>
          <w:lang w:eastAsia="en-US"/>
        </w:rPr>
      </w:pPr>
      <w:r>
        <w:rPr>
          <w:lang w:eastAsia="en-US"/>
        </w:rPr>
        <w:t>(3) Всяко лице с постоянен адрес или седалище в България, което има правен интерес, може в срок до един месец от датата на публикуването по ал. 1 да изпрати до МЗХГ възражение по образец съгласно приложение № 5.</w:t>
      </w:r>
    </w:p>
    <w:p>
      <w:pPr>
        <w:pStyle w:val="Normal"/>
        <w:widowControl w:val="false"/>
        <w:spacing w:lineRule="auto" w:line="360"/>
        <w:ind w:firstLine="720"/>
        <w:jc w:val="both"/>
        <w:rPr>
          <w:rFonts w:eastAsia="Times New Roman"/>
          <w:lang w:eastAsia="en-US"/>
        </w:rPr>
      </w:pPr>
      <w:r>
        <w:rPr>
          <w:lang w:eastAsia="en-US"/>
        </w:rPr>
        <w:t>(4) Компетентното звено в МЗХГ извършва проверка на допустимостта на постъпилите възражения въз основа на чл. 21 от Регламент № 1151/2012.</w:t>
      </w:r>
    </w:p>
    <w:p>
      <w:pPr>
        <w:pStyle w:val="Normal"/>
        <w:widowControl w:val="false"/>
        <w:spacing w:lineRule="auto" w:line="360"/>
        <w:ind w:firstLine="720"/>
        <w:jc w:val="both"/>
        <w:rPr>
          <w:rFonts w:eastAsia="Times New Roman"/>
          <w:lang w:eastAsia="en-US"/>
        </w:rPr>
      </w:pPr>
      <w:r>
        <w:rPr>
          <w:lang w:eastAsia="en-US"/>
        </w:rPr>
        <w:t>(5) Когато постъпилите възражения са допустими, компетентното звено в МЗХГ писмено съобщава на заявителя и му изпраща копия от тях и указания за провеждане на преговори с възразилите лица за постигане на споразумение. Преговорите се провеждат с цел постигане на съгласие по всички обстоятелства, по които е направено допустимо възражение.</w:t>
      </w:r>
    </w:p>
    <w:p>
      <w:pPr>
        <w:pStyle w:val="Normal"/>
        <w:widowControl w:val="false"/>
        <w:spacing w:lineRule="auto" w:line="360"/>
        <w:ind w:firstLine="720"/>
        <w:jc w:val="both"/>
        <w:rPr>
          <w:rFonts w:eastAsia="Times New Roman"/>
          <w:lang w:eastAsia="en-US"/>
        </w:rPr>
      </w:pPr>
      <w:r>
        <w:rPr>
          <w:rFonts w:eastAsia="Times New Roman"/>
          <w:lang w:eastAsia="en-US"/>
        </w:rPr>
        <w:t>(</w:t>
      </w:r>
      <w:r>
        <w:rPr>
          <w:lang w:eastAsia="en-US"/>
        </w:rPr>
        <w:t>6) В двумесечен срок от получаване на копията на възраженията, заявителят изпраща писмено становище по тях до компетентното звено в МЗХГ, като прилага постигнатото споразумение и ново заявление-спецификация, когато това се налага. Когато не е постигнато споразумение, заявителят обяснява в становището си и причините за това.</w:t>
      </w:r>
    </w:p>
    <w:p>
      <w:pPr>
        <w:pStyle w:val="Normal"/>
        <w:widowControl w:val="false"/>
        <w:spacing w:lineRule="auto" w:line="360"/>
        <w:ind w:firstLine="720"/>
        <w:jc w:val="both"/>
        <w:rPr>
          <w:rFonts w:eastAsia="Times New Roman"/>
          <w:lang w:eastAsia="en-US"/>
        </w:rPr>
      </w:pPr>
      <w:r>
        <w:rPr>
          <w:lang w:eastAsia="en-US"/>
        </w:rPr>
        <w:t>(7) Възраженията, по които страните са постигнали съгласие, се считат за оттеглени от възразилата страна. По възраженията, по които страните не са постигнали съгласие, се произнася комисията по реда на чл. 31.</w:t>
      </w:r>
    </w:p>
    <w:p>
      <w:pPr>
        <w:pStyle w:val="Normal"/>
        <w:widowControl w:val="false"/>
        <w:spacing w:lineRule="auto" w:line="360" w:before="120" w:after="0"/>
        <w:ind w:firstLine="720"/>
        <w:jc w:val="both"/>
        <w:rPr>
          <w:rFonts w:eastAsia="Times New Roman"/>
          <w:lang w:eastAsia="en-US"/>
        </w:rPr>
      </w:pPr>
      <w:r>
        <w:rPr>
          <w:b/>
          <w:bCs/>
          <w:lang w:eastAsia="en-US"/>
        </w:rPr>
        <w:t>Чл. 31.</w:t>
      </w:r>
      <w:r>
        <w:rPr>
          <w:lang w:eastAsia="en-US"/>
        </w:rPr>
        <w:t xml:space="preserve"> (1) Компетентното звено в МЗХГ изготвя доклад за постъпилите възражения и постигнатото споразумение, съответно липсата на такова, до Комисията.</w:t>
      </w:r>
    </w:p>
    <w:p>
      <w:pPr>
        <w:pStyle w:val="Normal"/>
        <w:widowControl w:val="false"/>
        <w:spacing w:lineRule="auto" w:line="360"/>
        <w:ind w:firstLine="720"/>
        <w:jc w:val="both"/>
        <w:rPr>
          <w:rFonts w:eastAsia="Times New Roman"/>
          <w:lang w:eastAsia="en-US"/>
        </w:rPr>
      </w:pPr>
      <w:r>
        <w:rPr>
          <w:lang w:eastAsia="en-US"/>
        </w:rPr>
        <w:t>(2) Комисията разглежда заявлението, заедно с приложените към него документи, и докладите на компетентното звено в МЗХГ по чл. 29, ал. 1 и чл. 31, ал. 1 и предлага на министъра на земеделието, храните и горите становище за одобрение или за мотивиран отказ.</w:t>
      </w:r>
    </w:p>
    <w:p>
      <w:pPr>
        <w:pStyle w:val="Normal"/>
        <w:widowControl w:val="false"/>
        <w:spacing w:lineRule="auto" w:line="360"/>
        <w:ind w:firstLine="720"/>
        <w:jc w:val="both"/>
        <w:rPr>
          <w:rFonts w:eastAsia="Times New Roman"/>
          <w:lang w:eastAsia="en-US"/>
        </w:rPr>
      </w:pPr>
      <w:r>
        <w:rPr>
          <w:lang w:eastAsia="en-US"/>
        </w:rPr>
        <w:t>(3) Когато има възражения, по които страните не са постигнали съгласие по чл. 30, ал. 5, комисията се произнася по тях, като мотивира тяхното приемане или отхвърляне. При необходимост комисията може да поиска писмено становище от възразилите лица или да ги изслуша на свое заседание.</w:t>
      </w:r>
    </w:p>
    <w:p>
      <w:pPr>
        <w:pStyle w:val="Normal"/>
        <w:widowControl w:val="false"/>
        <w:spacing w:lineRule="auto" w:line="360" w:before="120" w:after="0"/>
        <w:ind w:firstLine="720"/>
        <w:jc w:val="both"/>
        <w:rPr>
          <w:rFonts w:eastAsia="Times New Roman"/>
          <w:lang w:eastAsia="en-US"/>
        </w:rPr>
      </w:pPr>
      <w:r>
        <w:rPr>
          <w:b/>
          <w:bCs/>
          <w:lang w:eastAsia="en-US"/>
        </w:rPr>
        <w:t>Чл. 32.</w:t>
      </w:r>
      <w:r>
        <w:rPr>
          <w:lang w:eastAsia="en-US"/>
        </w:rPr>
        <w:t xml:space="preserve"> (1) Когато по реда на чл. 31 се установи, че представените доказателства не са достатъчни, на заявителя се предоставя възможност да представи допълнителни доказателства, като компетентното звено в МЗХГ дава указания за това.</w:t>
      </w:r>
    </w:p>
    <w:p>
      <w:pPr>
        <w:pStyle w:val="Normal"/>
        <w:widowControl w:val="false"/>
        <w:spacing w:lineRule="auto" w:line="360"/>
        <w:ind w:firstLine="720"/>
        <w:jc w:val="both"/>
        <w:rPr>
          <w:rFonts w:eastAsia="Times New Roman"/>
          <w:lang w:eastAsia="en-US"/>
        </w:rPr>
      </w:pPr>
      <w:r>
        <w:rPr>
          <w:lang w:eastAsia="en-US"/>
        </w:rPr>
        <w:t xml:space="preserve"> </w:t>
      </w:r>
      <w:r>
        <w:rPr>
          <w:lang w:eastAsia="en-US"/>
        </w:rPr>
        <w:t xml:space="preserve">(2) Допълнителните доказателства се представят в МЗХГ в срок до два месеца от уведомяването на заявителя. </w:t>
      </w:r>
    </w:p>
    <w:p>
      <w:pPr>
        <w:pStyle w:val="Normal"/>
        <w:widowControl w:val="false"/>
        <w:spacing w:lineRule="auto" w:line="360"/>
        <w:ind w:firstLine="720"/>
        <w:jc w:val="both"/>
        <w:rPr>
          <w:rFonts w:eastAsia="Times New Roman"/>
          <w:lang w:eastAsia="en-US"/>
        </w:rPr>
      </w:pPr>
      <w:r>
        <w:rPr>
          <w:lang w:eastAsia="en-US"/>
        </w:rPr>
        <w:t xml:space="preserve">(3) Когато заявителят не представи допълнителни доказателства в срока по ал. 2, </w:t>
      </w:r>
      <w:r>
        <w:rPr>
          <w:rFonts w:eastAsia="Times New Roman"/>
          <w:lang w:eastAsia="en-US"/>
        </w:rPr>
        <w:t xml:space="preserve"> </w:t>
      </w:r>
      <w:r>
        <w:rPr>
          <w:lang w:eastAsia="en-US"/>
        </w:rPr>
        <w:t xml:space="preserve">производството по вписване се прекратява по реда на чл. 28, ал. </w:t>
      </w:r>
      <w:r>
        <w:rPr>
          <w:rFonts w:eastAsia="Times New Roman"/>
          <w:lang w:eastAsia="en-US"/>
        </w:rPr>
        <w:t>2.</w:t>
      </w:r>
    </w:p>
    <w:p>
      <w:pPr>
        <w:pStyle w:val="Normal"/>
        <w:widowControl w:val="false"/>
        <w:spacing w:lineRule="auto" w:line="360" w:before="120" w:after="0"/>
        <w:ind w:firstLine="720"/>
        <w:jc w:val="both"/>
        <w:rPr>
          <w:rFonts w:eastAsia="Times New Roman"/>
          <w:lang w:eastAsia="en-US"/>
        </w:rPr>
      </w:pPr>
      <w:r>
        <w:rPr>
          <w:b/>
          <w:bCs/>
          <w:lang w:eastAsia="en-US"/>
        </w:rPr>
        <w:t>Чл. 33.</w:t>
      </w:r>
      <w:r>
        <w:rPr>
          <w:lang w:eastAsia="en-US"/>
        </w:rPr>
        <w:t xml:space="preserve"> (1) Министърът на земеделието, храните и горите след запознаване със становището по чл. 31, ал. 2 на Комисията издава заповед за</w:t>
      </w:r>
      <w:r>
        <w:rPr>
          <w:rFonts w:eastAsia="Times New Roman"/>
          <w:lang w:eastAsia="en-US"/>
        </w:rPr>
        <w:t>:</w:t>
      </w:r>
    </w:p>
    <w:p>
      <w:pPr>
        <w:pStyle w:val="Normal"/>
        <w:widowControl w:val="false"/>
        <w:spacing w:lineRule="auto" w:line="360" w:before="120" w:after="0"/>
        <w:ind w:firstLine="720"/>
        <w:jc w:val="both"/>
        <w:rPr>
          <w:rFonts w:eastAsia="Times New Roman"/>
          <w:lang w:eastAsia="en-US"/>
        </w:rPr>
      </w:pPr>
      <w:r>
        <w:rPr>
          <w:rFonts w:eastAsia="Times New Roman"/>
          <w:lang w:eastAsia="en-US"/>
        </w:rPr>
        <w:t>1.</w:t>
      </w:r>
      <w:r>
        <w:rPr>
          <w:lang w:eastAsia="en-US"/>
        </w:rPr>
        <w:t xml:space="preserve">  изпращането на заявлението до Европейската комисия или</w:t>
      </w:r>
    </w:p>
    <w:p>
      <w:pPr>
        <w:pStyle w:val="Normal"/>
        <w:widowControl w:val="false"/>
        <w:spacing w:lineRule="auto" w:line="360" w:before="120" w:after="0"/>
        <w:ind w:firstLine="720"/>
        <w:jc w:val="both"/>
        <w:rPr>
          <w:rFonts w:eastAsia="Times New Roman"/>
          <w:lang w:eastAsia="en-US"/>
        </w:rPr>
      </w:pPr>
      <w:r>
        <w:rPr>
          <w:rFonts w:eastAsia="Times New Roman"/>
          <w:lang w:eastAsia="en-US"/>
        </w:rPr>
        <w:t>2.</w:t>
      </w:r>
      <w:r>
        <w:rPr>
          <w:lang w:eastAsia="en-US"/>
        </w:rPr>
        <w:t xml:space="preserve"> отказ.</w:t>
      </w:r>
    </w:p>
    <w:p>
      <w:pPr>
        <w:pStyle w:val="Normal"/>
        <w:widowControl w:val="false"/>
        <w:spacing w:lineRule="auto" w:line="360"/>
        <w:ind w:firstLine="720"/>
        <w:jc w:val="both"/>
        <w:rPr>
          <w:rFonts w:eastAsia="Times New Roman"/>
          <w:lang w:eastAsia="en-US"/>
        </w:rPr>
      </w:pPr>
      <w:r>
        <w:rPr>
          <w:lang w:eastAsia="en-US"/>
        </w:rPr>
        <w:t>(2) Заповедите по ал. 1 се съобщават в 3-дневен срок</w:t>
      </w:r>
      <w:r>
        <w:rPr>
          <w:rFonts w:eastAsia="Times New Roman"/>
          <w:lang w:eastAsia="en-US"/>
        </w:rPr>
        <w:t xml:space="preserve"> </w:t>
      </w:r>
      <w:r>
        <w:rPr>
          <w:lang w:eastAsia="en-US"/>
        </w:rPr>
        <w:t>на заявителя и всички заинтересовани лица, включително тези по чл. 30, ал. 3. Заповедите могат да се обжалват по реда на Административнопроцесуалния кодекс.</w:t>
      </w:r>
    </w:p>
    <w:p>
      <w:pPr>
        <w:pStyle w:val="Normal"/>
        <w:widowControl w:val="false"/>
        <w:spacing w:lineRule="auto" w:line="360"/>
        <w:ind w:firstLine="720"/>
        <w:jc w:val="both"/>
        <w:rPr>
          <w:strike/>
          <w:lang w:eastAsia="en-US"/>
        </w:rPr>
      </w:pPr>
      <w:r>
        <w:rPr>
          <w:lang w:eastAsia="en-US"/>
        </w:rPr>
        <w:t>(3) Заповедта по ал. 1, т. 1 и заявлението-спецификация се публикуват на интернет страницата на МЗХГ в 10-дневен срок след влизането й в сила, като заявлението се изпраща до Европейската комисия за вписване в Европейския регистър на защитените наименования за произход и защитените географски указания.</w:t>
      </w:r>
      <w:r>
        <w:rPr/>
        <w:t xml:space="preserve"> </w:t>
      </w:r>
    </w:p>
    <w:p>
      <w:pPr>
        <w:pStyle w:val="Normal"/>
        <w:widowControl w:val="false"/>
        <w:spacing w:lineRule="auto" w:line="360" w:before="120" w:after="0"/>
        <w:jc w:val="center"/>
        <w:rPr>
          <w:rFonts w:eastAsia="Times New Roman"/>
          <w:bCs/>
          <w:lang w:eastAsia="en-US"/>
        </w:rPr>
      </w:pPr>
      <w:r>
        <w:rPr>
          <w:bCs/>
          <w:lang w:eastAsia="en-US"/>
        </w:rPr>
        <w:t>Раздел II</w:t>
      </w:r>
    </w:p>
    <w:p>
      <w:pPr>
        <w:pStyle w:val="Normal"/>
        <w:widowControl w:val="false"/>
        <w:spacing w:lineRule="auto" w:line="360"/>
        <w:jc w:val="center"/>
        <w:rPr>
          <w:rFonts w:eastAsia="Times New Roman"/>
          <w:b/>
          <w:b/>
          <w:bCs/>
          <w:lang w:eastAsia="en-US"/>
        </w:rPr>
      </w:pPr>
      <w:r>
        <w:rPr>
          <w:b/>
          <w:bCs/>
          <w:lang w:eastAsia="en-US"/>
        </w:rPr>
        <w:t>Ред за подготовка и представяне на искания до Европейската комисия за изменение на вписване в Европейския регистър на храните с традиционно специфичен характер</w:t>
      </w:r>
    </w:p>
    <w:p>
      <w:pPr>
        <w:pStyle w:val="Normal"/>
        <w:widowControl w:val="false"/>
        <w:spacing w:lineRule="auto" w:line="360" w:before="120" w:after="0"/>
        <w:ind w:firstLine="720"/>
        <w:jc w:val="both"/>
        <w:rPr>
          <w:rFonts w:eastAsia="Times New Roman"/>
          <w:lang w:eastAsia="en-US"/>
        </w:rPr>
      </w:pPr>
      <w:r>
        <w:rPr>
          <w:b/>
          <w:bCs/>
          <w:lang w:eastAsia="en-US"/>
        </w:rPr>
        <w:t>Чл. 34.</w:t>
      </w:r>
      <w:r>
        <w:rPr>
          <w:lang w:eastAsia="en-US"/>
        </w:rPr>
        <w:t xml:space="preserve"> (1) Групата от производители, съответно индивидуален производител, подава в МЗХГ заявление за изменение на спецификация по образец съгласно Приложение № VI от Регламент за изпълнение (ЕС) № 668/2014, когато изменението не е несъществено, или заявление за изменение съгласно Приложение № VII от Регламент за изпълнение (ЕС) № 668/2014, когато изменението е несъществено, като се спазват изискванията на чл. 6 на делегиран Регламент (ЕС) № 664/2014 и на чл. 10 на Регламент за изпълнение (ЕС) № 668/2014.</w:t>
      </w:r>
    </w:p>
    <w:p>
      <w:pPr>
        <w:pStyle w:val="Normal"/>
        <w:widowControl w:val="false"/>
        <w:spacing w:lineRule="auto" w:line="360"/>
        <w:ind w:firstLine="720"/>
        <w:jc w:val="both"/>
        <w:rPr>
          <w:rFonts w:eastAsia="Times New Roman"/>
          <w:lang w:eastAsia="en-US"/>
        </w:rPr>
      </w:pPr>
      <w:r>
        <w:rPr>
          <w:lang w:eastAsia="en-US"/>
        </w:rPr>
        <w:t xml:space="preserve">(2) Към заявлението се прилагат: </w:t>
      </w:r>
    </w:p>
    <w:p>
      <w:pPr>
        <w:pStyle w:val="Normal"/>
        <w:widowControl w:val="false"/>
        <w:spacing w:lineRule="auto" w:line="360"/>
        <w:ind w:firstLine="720"/>
        <w:jc w:val="both"/>
        <w:rPr>
          <w:rFonts w:eastAsia="Times New Roman"/>
          <w:lang w:eastAsia="en-US"/>
        </w:rPr>
      </w:pPr>
      <w:r>
        <w:rPr>
          <w:lang w:eastAsia="en-US"/>
        </w:rPr>
        <w:t>1. декларации за обема на производство на земеделския продукт или храна на всеки член на групата от производители, съответно индивидуален производител, за предходните три календарни години;</w:t>
      </w:r>
    </w:p>
    <w:p>
      <w:pPr>
        <w:pStyle w:val="Normal"/>
        <w:widowControl w:val="false"/>
        <w:spacing w:lineRule="auto" w:line="360"/>
        <w:ind w:firstLine="720"/>
        <w:jc w:val="both"/>
        <w:rPr>
          <w:rFonts w:eastAsia="Times New Roman"/>
          <w:lang w:eastAsia="en-US"/>
        </w:rPr>
      </w:pPr>
      <w:r>
        <w:rPr>
          <w:lang w:eastAsia="en-US"/>
        </w:rPr>
        <w:t>2. изменената спецификация на земеделския продукт или храна;</w:t>
      </w:r>
    </w:p>
    <w:p>
      <w:pPr>
        <w:pStyle w:val="Normal"/>
        <w:widowControl w:val="false"/>
        <w:spacing w:lineRule="auto" w:line="360"/>
        <w:ind w:firstLine="720"/>
        <w:jc w:val="both"/>
        <w:rPr>
          <w:rFonts w:eastAsia="Times New Roman"/>
          <w:lang w:eastAsia="en-US"/>
        </w:rPr>
      </w:pPr>
      <w:r>
        <w:rPr>
          <w:lang w:eastAsia="en-US"/>
        </w:rPr>
        <w:t>3. доказателства за налагането на задължителни санитарни или фитосанитарни мерки от съответните държавни органи, в случай на временни изменения на спецификацията.</w:t>
      </w:r>
    </w:p>
    <w:p>
      <w:pPr>
        <w:pStyle w:val="Normal"/>
        <w:widowControl w:val="false"/>
        <w:spacing w:lineRule="auto" w:line="360" w:before="120" w:after="0"/>
        <w:ind w:firstLine="720"/>
        <w:jc w:val="both"/>
        <w:rPr>
          <w:rFonts w:eastAsia="Times New Roman"/>
          <w:lang w:eastAsia="en-US"/>
        </w:rPr>
      </w:pPr>
      <w:r>
        <w:rPr>
          <w:b/>
          <w:bCs/>
          <w:lang w:eastAsia="en-US"/>
        </w:rPr>
        <w:t>Чл. 35.</w:t>
      </w:r>
      <w:r>
        <w:rPr>
          <w:lang w:eastAsia="en-US"/>
        </w:rPr>
        <w:t xml:space="preserve"> (1) Компетентното звено в МЗХГ извършва проверка на представените документи по чл. 34. </w:t>
      </w:r>
    </w:p>
    <w:p>
      <w:pPr>
        <w:pStyle w:val="Normal"/>
        <w:widowControl w:val="false"/>
        <w:spacing w:lineRule="auto" w:line="360"/>
        <w:ind w:firstLine="720"/>
        <w:jc w:val="both"/>
        <w:rPr>
          <w:rFonts w:eastAsia="Times New Roman"/>
          <w:lang w:eastAsia="en-US"/>
        </w:rPr>
      </w:pPr>
      <w:r>
        <w:rPr>
          <w:lang w:eastAsia="en-US"/>
        </w:rPr>
        <w:t>(2) Заявлението за изменение на спецификация се разглежда съответно по реда на чл. 30 – 33.</w:t>
      </w:r>
    </w:p>
    <w:p>
      <w:pPr>
        <w:pStyle w:val="Normal"/>
        <w:widowControl w:val="false"/>
        <w:spacing w:lineRule="auto" w:line="360" w:before="120" w:after="0"/>
        <w:jc w:val="center"/>
        <w:rPr>
          <w:rFonts w:eastAsia="Times New Roman"/>
          <w:bCs/>
          <w:lang w:eastAsia="en-US"/>
        </w:rPr>
      </w:pPr>
      <w:r>
        <w:rPr>
          <w:bCs/>
          <w:lang w:eastAsia="en-US"/>
        </w:rPr>
        <w:t>Раздел III</w:t>
      </w:r>
    </w:p>
    <w:p>
      <w:pPr>
        <w:pStyle w:val="Normal"/>
        <w:widowControl w:val="false"/>
        <w:spacing w:lineRule="auto" w:line="360"/>
        <w:jc w:val="center"/>
        <w:rPr>
          <w:rFonts w:eastAsia="Times New Roman"/>
          <w:b/>
          <w:b/>
          <w:bCs/>
          <w:lang w:eastAsia="en-US"/>
        </w:rPr>
      </w:pPr>
      <w:r>
        <w:rPr>
          <w:b/>
          <w:bCs/>
          <w:lang w:eastAsia="en-US"/>
        </w:rPr>
        <w:t>Ред за подготовка и представяне на възражения до Европейската комисия</w:t>
      </w:r>
    </w:p>
    <w:p>
      <w:pPr>
        <w:pStyle w:val="Normal"/>
        <w:widowControl w:val="false"/>
        <w:spacing w:lineRule="auto" w:line="360" w:before="120" w:after="0"/>
        <w:ind w:firstLine="720"/>
        <w:jc w:val="both"/>
        <w:rPr>
          <w:rFonts w:eastAsia="Times New Roman"/>
          <w:lang w:eastAsia="en-US"/>
        </w:rPr>
      </w:pPr>
      <w:r>
        <w:rPr>
          <w:b/>
          <w:bCs/>
          <w:lang w:eastAsia="en-US"/>
        </w:rPr>
        <w:t>Чл. 36.</w:t>
      </w:r>
      <w:r>
        <w:rPr>
          <w:lang w:eastAsia="en-US"/>
        </w:rPr>
        <w:t xml:space="preserve"> Всяко заинтересовано лице с постоянен адрес или седалище в България, което има правен интерес, може да подаде уведомление за възражение по смисъла на чл. 51, параграф 1 от Регламент № 1151/2012.</w:t>
      </w:r>
    </w:p>
    <w:p>
      <w:pPr>
        <w:pStyle w:val="Normal"/>
        <w:widowControl w:val="false"/>
        <w:spacing w:lineRule="auto" w:line="360" w:before="120" w:after="0"/>
        <w:ind w:firstLine="720"/>
        <w:jc w:val="both"/>
        <w:rPr>
          <w:rFonts w:eastAsia="Times New Roman"/>
          <w:lang w:eastAsia="en-US"/>
        </w:rPr>
      </w:pPr>
      <w:r>
        <w:rPr>
          <w:b/>
          <w:bCs/>
          <w:lang w:eastAsia="en-US"/>
        </w:rPr>
        <w:t xml:space="preserve">Чл. 37. </w:t>
      </w:r>
      <w:r>
        <w:rPr>
          <w:lang w:eastAsia="en-US"/>
        </w:rPr>
        <w:t>(1) Уведомлението за възражението се подава в МЗХГ в 2-месечен срок от публикацията в “Официален вестник” на Европейския съюз по чл. 50, параграф 2, буква “б” от Регламент № 1151/2012.</w:t>
      </w:r>
    </w:p>
    <w:p>
      <w:pPr>
        <w:pStyle w:val="Normal"/>
        <w:widowControl w:val="false"/>
        <w:spacing w:lineRule="auto" w:line="360"/>
        <w:ind w:firstLine="720"/>
        <w:jc w:val="both"/>
        <w:rPr>
          <w:rFonts w:eastAsia="Times New Roman"/>
          <w:lang w:eastAsia="en-US"/>
        </w:rPr>
      </w:pPr>
      <w:r>
        <w:rPr>
          <w:lang w:eastAsia="en-US"/>
        </w:rPr>
        <w:t>(2) Уведомлението се изпраща от МЗХГ в ЕК.</w:t>
      </w:r>
    </w:p>
    <w:p>
      <w:pPr>
        <w:pStyle w:val="Normal"/>
        <w:widowControl w:val="false"/>
        <w:spacing w:lineRule="auto" w:line="360"/>
        <w:ind w:firstLine="720"/>
        <w:jc w:val="both"/>
        <w:rPr>
          <w:rFonts w:eastAsia="Times New Roman"/>
          <w:lang w:eastAsia="en-US"/>
        </w:rPr>
      </w:pPr>
      <w:r>
        <w:rPr>
          <w:lang w:eastAsia="en-US"/>
        </w:rPr>
        <w:t>(3) Лицето, подало уведомлението, трябва да представи в МЗХГ мотивирано възражение съгласно Приложение № III от Регламент за изпълнение (ЕС) № 668/2014 в срок 14 дни от датата на уведомлението.</w:t>
      </w:r>
    </w:p>
    <w:p>
      <w:pPr>
        <w:pStyle w:val="Normal"/>
        <w:widowControl w:val="false"/>
        <w:spacing w:lineRule="auto" w:line="360" w:before="120" w:after="0"/>
        <w:ind w:firstLine="720"/>
        <w:jc w:val="both"/>
        <w:rPr>
          <w:rFonts w:eastAsia="Times New Roman"/>
          <w:lang w:eastAsia="en-US"/>
        </w:rPr>
      </w:pPr>
      <w:r>
        <w:rPr>
          <w:b/>
          <w:bCs/>
          <w:lang w:eastAsia="en-US"/>
        </w:rPr>
        <w:t>Чл. 38.</w:t>
      </w:r>
      <w:r>
        <w:rPr>
          <w:lang w:eastAsia="en-US"/>
        </w:rPr>
        <w:t xml:space="preserve"> (1) Мотивираното възражение се разглежда от Комисията.</w:t>
      </w:r>
    </w:p>
    <w:p>
      <w:pPr>
        <w:pStyle w:val="Normal"/>
        <w:widowControl w:val="false"/>
        <w:spacing w:lineRule="auto" w:line="360"/>
        <w:ind w:firstLine="720"/>
        <w:jc w:val="both"/>
        <w:rPr>
          <w:lang w:eastAsia="en-US"/>
        </w:rPr>
      </w:pPr>
      <w:r>
        <w:rPr>
          <w:lang w:eastAsia="en-US"/>
        </w:rPr>
        <w:t>(2) Министърът на земеделието, храните и горите след запознаване със становището по ал. 1 на Комисията издава заповед за:</w:t>
      </w:r>
    </w:p>
    <w:p>
      <w:pPr>
        <w:pStyle w:val="Normal"/>
        <w:widowControl w:val="false"/>
        <w:spacing w:lineRule="auto" w:line="360"/>
        <w:ind w:firstLine="720"/>
        <w:jc w:val="both"/>
        <w:rPr>
          <w:lang w:eastAsia="en-US"/>
        </w:rPr>
      </w:pPr>
      <w:r>
        <w:rPr>
          <w:lang w:eastAsia="en-US"/>
        </w:rPr>
        <w:t xml:space="preserve">1. изпращане възражението до Европейската комисия. </w:t>
      </w:r>
    </w:p>
    <w:p>
      <w:pPr>
        <w:pStyle w:val="Normal"/>
        <w:widowControl w:val="false"/>
        <w:spacing w:lineRule="auto" w:line="360"/>
        <w:ind w:firstLine="720"/>
        <w:jc w:val="both"/>
        <w:rPr>
          <w:rFonts w:eastAsia="Times New Roman"/>
          <w:lang w:eastAsia="en-US"/>
        </w:rPr>
      </w:pPr>
      <w:r>
        <w:rPr>
          <w:lang w:eastAsia="en-US"/>
        </w:rPr>
        <w:t>2. отказ</w:t>
      </w:r>
    </w:p>
    <w:p>
      <w:pPr>
        <w:pStyle w:val="Normal"/>
        <w:widowControl w:val="false"/>
        <w:spacing w:lineRule="auto" w:line="360"/>
        <w:ind w:firstLine="720"/>
        <w:jc w:val="both"/>
        <w:rPr>
          <w:lang w:eastAsia="en-US"/>
        </w:rPr>
      </w:pPr>
      <w:r>
        <w:rPr>
          <w:lang w:eastAsia="en-US"/>
        </w:rPr>
        <w:t>(3) Заповедите по ал. 1 се съобщават на лицето подало уведомлението по чл. 36. и могат да се обжалват по реда на Административнопроцесуалния кодекс.</w:t>
      </w:r>
    </w:p>
    <w:p>
      <w:pPr>
        <w:pStyle w:val="Normal"/>
        <w:widowControl w:val="false"/>
        <w:spacing w:lineRule="auto" w:line="360" w:before="120" w:after="0"/>
        <w:jc w:val="both"/>
        <w:rPr>
          <w:lang w:eastAsia="en-US"/>
        </w:rPr>
      </w:pPr>
      <w:r>
        <w:rPr>
          <w:lang w:eastAsia="en-US"/>
        </w:rPr>
      </w:r>
    </w:p>
    <w:p>
      <w:pPr>
        <w:pStyle w:val="Normal"/>
        <w:widowControl w:val="false"/>
        <w:spacing w:lineRule="auto" w:line="360" w:before="120" w:after="0"/>
        <w:jc w:val="center"/>
        <w:rPr>
          <w:rFonts w:eastAsia="Times New Roman"/>
          <w:bCs/>
          <w:lang w:eastAsia="en-US"/>
        </w:rPr>
      </w:pPr>
      <w:r>
        <w:rPr>
          <w:bCs/>
          <w:lang w:eastAsia="en-US"/>
        </w:rPr>
        <w:t>Раздел IV</w:t>
      </w:r>
    </w:p>
    <w:p>
      <w:pPr>
        <w:pStyle w:val="Normal"/>
        <w:widowControl w:val="false"/>
        <w:spacing w:lineRule="auto" w:line="360"/>
        <w:jc w:val="center"/>
        <w:rPr>
          <w:rFonts w:eastAsia="Times New Roman"/>
          <w:b/>
          <w:b/>
          <w:bCs/>
          <w:lang w:eastAsia="en-US"/>
        </w:rPr>
      </w:pPr>
      <w:r>
        <w:rPr>
          <w:b/>
          <w:bCs/>
          <w:lang w:eastAsia="en-US"/>
        </w:rPr>
        <w:t>Ред за подготовка и представяне на искания до Европейската комисия за заличаване на вписване на храна с традиционно специфичен характер</w:t>
      </w:r>
    </w:p>
    <w:p>
      <w:pPr>
        <w:pStyle w:val="Normal"/>
        <w:widowControl w:val="false"/>
        <w:spacing w:lineRule="auto" w:line="360" w:before="120" w:after="0"/>
        <w:ind w:firstLine="720"/>
        <w:jc w:val="both"/>
        <w:rPr>
          <w:rFonts w:eastAsia="Times New Roman"/>
          <w:lang w:eastAsia="en-US"/>
        </w:rPr>
      </w:pPr>
      <w:r>
        <w:rPr>
          <w:b/>
          <w:bCs/>
          <w:lang w:eastAsia="en-US"/>
        </w:rPr>
        <w:t>Чл. 39.</w:t>
      </w:r>
      <w:r>
        <w:rPr>
          <w:lang w:eastAsia="en-US"/>
        </w:rPr>
        <w:t xml:space="preserve"> (1) Всяко заинтересовано лице с постоянен адрес или седалище в България може да подаде мотивирано искане до Европейската комисия за заличаване на вписване на храна с традиционно специфичен характер.</w:t>
      </w:r>
    </w:p>
    <w:p>
      <w:pPr>
        <w:pStyle w:val="Normal"/>
        <w:widowControl w:val="false"/>
        <w:spacing w:lineRule="auto" w:line="360"/>
        <w:ind w:firstLine="720"/>
        <w:jc w:val="both"/>
        <w:rPr>
          <w:rFonts w:eastAsia="Times New Roman"/>
          <w:lang w:eastAsia="en-US"/>
        </w:rPr>
      </w:pPr>
      <w:r>
        <w:rPr>
          <w:lang w:eastAsia="en-US"/>
        </w:rPr>
        <w:t>(2) Искането се подава чрез МЗХГ по образец съгласно Приложение № IX от Регламент за изпълнение (ЕС) № 668/2014.</w:t>
      </w:r>
    </w:p>
    <w:p>
      <w:pPr>
        <w:pStyle w:val="Normal"/>
        <w:widowControl w:val="false"/>
        <w:spacing w:lineRule="auto" w:line="360" w:before="120" w:after="0"/>
        <w:ind w:firstLine="720"/>
        <w:jc w:val="both"/>
        <w:rPr>
          <w:rFonts w:eastAsia="Times New Roman"/>
          <w:lang w:eastAsia="en-US"/>
        </w:rPr>
      </w:pPr>
      <w:r>
        <w:rPr>
          <w:b/>
          <w:bCs/>
          <w:lang w:eastAsia="en-US"/>
        </w:rPr>
        <w:t>Чл. 40.</w:t>
      </w:r>
      <w:r>
        <w:rPr>
          <w:lang w:eastAsia="en-US"/>
        </w:rPr>
        <w:t xml:space="preserve"> (1) Искането за заличаване се разглежда от Комисията.</w:t>
      </w:r>
    </w:p>
    <w:p>
      <w:pPr>
        <w:pStyle w:val="Normal"/>
        <w:widowControl w:val="false"/>
        <w:spacing w:lineRule="auto" w:line="360"/>
        <w:ind w:firstLine="720"/>
        <w:jc w:val="both"/>
        <w:rPr>
          <w:lang w:eastAsia="en-US"/>
        </w:rPr>
      </w:pPr>
      <w:r>
        <w:rPr>
          <w:lang w:eastAsia="en-US"/>
        </w:rPr>
        <w:t>(2) Министърът на земеделието, храните и горите след запознаване със становището по ал. 1 на Комисията издава заповед за:</w:t>
      </w:r>
    </w:p>
    <w:p>
      <w:pPr>
        <w:pStyle w:val="Normal"/>
        <w:widowControl w:val="false"/>
        <w:spacing w:lineRule="auto" w:line="360"/>
        <w:ind w:firstLine="720"/>
        <w:jc w:val="both"/>
        <w:rPr>
          <w:lang w:eastAsia="en-US"/>
        </w:rPr>
      </w:pPr>
      <w:r>
        <w:rPr>
          <w:lang w:eastAsia="en-US"/>
        </w:rPr>
        <w:t xml:space="preserve">1. изпращане искането за заличаване до Европейската комисия </w:t>
      </w:r>
    </w:p>
    <w:p>
      <w:pPr>
        <w:pStyle w:val="Normal"/>
        <w:widowControl w:val="false"/>
        <w:spacing w:lineRule="auto" w:line="360"/>
        <w:ind w:firstLine="720"/>
        <w:jc w:val="both"/>
        <w:rPr>
          <w:lang w:eastAsia="en-US"/>
        </w:rPr>
      </w:pPr>
      <w:r>
        <w:rPr>
          <w:lang w:eastAsia="en-US"/>
        </w:rPr>
        <w:t>2. отказ.</w:t>
      </w:r>
    </w:p>
    <w:p>
      <w:pPr>
        <w:pStyle w:val="Normal"/>
        <w:widowControl w:val="false"/>
        <w:spacing w:lineRule="auto" w:line="360"/>
        <w:ind w:firstLine="720"/>
        <w:jc w:val="both"/>
        <w:rPr>
          <w:rFonts w:eastAsia="Times New Roman"/>
          <w:lang w:eastAsia="en-US"/>
        </w:rPr>
      </w:pPr>
      <w:r>
        <w:rPr>
          <w:lang w:eastAsia="en-US"/>
        </w:rPr>
        <w:t>(3) Заповедите по ал. 2  се съобщават в 3-дневен срок на лицето, подало искането по чл. 39, ал. 1. Заповедите могат да се обжалва по реда на Административнопроцесуалния кодекс.</w:t>
      </w:r>
    </w:p>
    <w:p>
      <w:pPr>
        <w:pStyle w:val="Normal"/>
        <w:widowControl w:val="false"/>
        <w:spacing w:lineRule="auto" w:line="360" w:before="240" w:after="0"/>
        <w:jc w:val="center"/>
        <w:rPr>
          <w:rFonts w:eastAsia="Times New Roman"/>
          <w:bCs/>
          <w:spacing w:val="100"/>
          <w:lang w:eastAsia="en-US"/>
        </w:rPr>
      </w:pPr>
      <w:r>
        <w:rPr>
          <w:bCs/>
          <w:spacing w:val="100"/>
          <w:lang w:eastAsia="en-US"/>
        </w:rPr>
        <w:t>Глава шеста</w:t>
      </w:r>
    </w:p>
    <w:p>
      <w:pPr>
        <w:pStyle w:val="Normal"/>
        <w:widowControl w:val="false"/>
        <w:spacing w:lineRule="auto" w:line="360"/>
        <w:jc w:val="center"/>
        <w:rPr>
          <w:rFonts w:eastAsia="Times New Roman"/>
          <w:bCs/>
          <w:lang w:eastAsia="en-US"/>
        </w:rPr>
      </w:pPr>
      <w:r>
        <w:rPr>
          <w:bCs/>
          <w:lang w:eastAsia="en-US"/>
        </w:rPr>
        <w:t>РЕД ЗА ПРЕДОСТАВЯНЕ НА РАЗРЕШЕНИЕ И НАДЗОР ВЪРХУ КОНТРОЛИРАЩИТЕ ЛИЦА</w:t>
      </w:r>
    </w:p>
    <w:p>
      <w:pPr>
        <w:pStyle w:val="Normal"/>
        <w:widowControl w:val="false"/>
        <w:spacing w:lineRule="auto" w:line="360" w:before="120" w:after="0"/>
        <w:ind w:firstLine="720"/>
        <w:jc w:val="both"/>
        <w:rPr/>
      </w:pPr>
      <w:r>
        <w:rPr>
          <w:b/>
          <w:bCs/>
          <w:lang w:eastAsia="en-US"/>
        </w:rPr>
        <w:t>Чл. 41.</w:t>
      </w:r>
      <w:r>
        <w:rPr>
          <w:rFonts w:eastAsia="Times New Roman"/>
          <w:lang w:eastAsia="en-US"/>
        </w:rPr>
        <w:t xml:space="preserve"> (1) </w:t>
      </w:r>
      <w:r>
        <w:rPr>
          <w:lang w:eastAsia="en-US"/>
        </w:rPr>
        <w:t>За получаване на разрешение</w:t>
      </w:r>
      <w:r>
        <w:rPr>
          <w:rFonts w:eastAsia="Times New Roman"/>
          <w:lang w:eastAsia="en-US"/>
        </w:rPr>
        <w:t xml:space="preserve"> по </w:t>
      </w:r>
      <w:r>
        <w:rPr>
          <w:lang w:eastAsia="en-US"/>
        </w:rPr>
        <w:t xml:space="preserve">чл. 18, ал. 1 от ЗПООПЗПЕС лицата подават </w:t>
      </w:r>
      <w:r>
        <w:rPr>
          <w:color w:val="000000"/>
        </w:rPr>
        <w:t xml:space="preserve">в Министерство на земеделието, храните и горите заявление по образец, утвърден със заповед на министъра на земеделието, храните и горите, който се публикува на </w:t>
      </w:r>
      <w:hyperlink r:id="rId2" w:tgtFrame="_blank">
        <w:r>
          <w:rPr>
            <w:rStyle w:val="InternetLink"/>
          </w:rPr>
          <w:t>интернет страницата</w:t>
        </w:r>
      </w:hyperlink>
      <w:r>
        <w:rPr>
          <w:color w:val="000000"/>
        </w:rPr>
        <w:t xml:space="preserve"> на министерството. </w:t>
      </w:r>
    </w:p>
    <w:p>
      <w:pPr>
        <w:pStyle w:val="Normal"/>
        <w:widowControl w:val="false"/>
        <w:spacing w:lineRule="auto" w:line="360"/>
        <w:ind w:firstLine="720"/>
        <w:jc w:val="both"/>
        <w:rPr>
          <w:lang w:eastAsia="en-US"/>
        </w:rPr>
      </w:pPr>
      <w:r>
        <w:rPr>
          <w:lang w:eastAsia="en-US"/>
        </w:rPr>
        <w:t xml:space="preserve"> </w:t>
      </w:r>
      <w:r>
        <w:rPr>
          <w:lang w:eastAsia="en-US"/>
        </w:rPr>
        <w:t xml:space="preserve">(2) Длъжностни лица от компетентното звено в МЗХГ извършват проверка на представените документи и проверка на място за условията за извършване на контролна дейност съгласно чл. 21, ал. 1 на ЗПООПЗПЕС. </w:t>
      </w:r>
    </w:p>
    <w:p>
      <w:pPr>
        <w:pStyle w:val="Normal"/>
        <w:widowControl w:val="false"/>
        <w:spacing w:lineRule="auto" w:line="360"/>
        <w:ind w:firstLine="720"/>
        <w:jc w:val="both"/>
        <w:rPr>
          <w:rFonts w:eastAsia="Times New Roman"/>
          <w:lang w:eastAsia="en-US"/>
        </w:rPr>
      </w:pPr>
      <w:r>
        <w:rPr>
          <w:rFonts w:eastAsia="Times New Roman"/>
          <w:lang w:eastAsia="en-US"/>
        </w:rPr>
        <w:t>(3) Когато при проверката по ал. 2 се установят непълноти и/или несъответствия, длъжностните лица по ал. 2, в 10-дневен срок от констатирането им, уведомяват писмено заявителя и му дават 7-дневен срок от получаване на уведомлението да отстрани непълнотите или несъответствията. Когато непълнотите или несъответствията не бъдат отстранени в определения срок, министърът на земеделието, храните и горите постановява отказ.</w:t>
      </w:r>
    </w:p>
    <w:p>
      <w:pPr>
        <w:pStyle w:val="Normal"/>
        <w:widowControl w:val="false"/>
        <w:spacing w:lineRule="auto" w:line="360"/>
        <w:ind w:firstLine="720"/>
        <w:jc w:val="both"/>
        <w:rPr>
          <w:lang w:eastAsia="en-US"/>
        </w:rPr>
      </w:pPr>
      <w:r>
        <w:rPr>
          <w:lang w:eastAsia="en-US"/>
        </w:rPr>
        <w:t>(4) Длъжностните лица, оправомощени със заповед на министъра на земеделието, храните и горите, извършват проверка на място</w:t>
      </w:r>
      <w:r>
        <w:rPr>
          <w:rFonts w:eastAsia="Times New Roman"/>
          <w:lang w:eastAsia="en-US"/>
        </w:rPr>
        <w:t xml:space="preserve"> </w:t>
      </w:r>
      <w:r>
        <w:rPr>
          <w:lang w:eastAsia="en-US"/>
        </w:rPr>
        <w:t>в присъствието на проверяваното лице при постъпване на първоначалното заявление за разрешение по ал. 1 и при настъпила промяна в обстоятелствата на контролиращото лице. За резултатите от проверката се изготвя протокол по образец</w:t>
      </w:r>
      <w:r>
        <w:rPr>
          <w:rFonts w:eastAsia="Times New Roman"/>
          <w:lang w:eastAsia="en-US"/>
        </w:rPr>
        <w:t>,</w:t>
      </w:r>
      <w:r>
        <w:rPr>
          <w:color w:val="000000"/>
        </w:rPr>
        <w:t xml:space="preserve"> утвърден от министъра на земеделието, храните и горите,</w:t>
      </w:r>
      <w:r>
        <w:rPr>
          <w:lang w:eastAsia="en-US"/>
        </w:rPr>
        <w:t xml:space="preserve"> който се връчва на проверяваното лице или на негов упълномощен представител.</w:t>
      </w:r>
    </w:p>
    <w:p>
      <w:pPr>
        <w:pStyle w:val="Normal"/>
        <w:widowControl w:val="false"/>
        <w:spacing w:lineRule="auto" w:line="360"/>
        <w:ind w:firstLine="720"/>
        <w:jc w:val="both"/>
        <w:rPr>
          <w:rFonts w:eastAsia="Times New Roman"/>
          <w:lang w:eastAsia="en-US"/>
        </w:rPr>
      </w:pPr>
      <w:r>
        <w:rPr>
          <w:lang w:eastAsia="en-US"/>
        </w:rPr>
        <w:t xml:space="preserve"> </w:t>
      </w:r>
      <w:r>
        <w:rPr>
          <w:lang w:eastAsia="en-US"/>
        </w:rPr>
        <w:t>(5) При необходимост в проверките могат да участват и други длъжностни лица, определени от министъра на земеделието, храните и горите.</w:t>
      </w:r>
    </w:p>
    <w:p>
      <w:pPr>
        <w:pStyle w:val="Normal"/>
        <w:widowControl w:val="false"/>
        <w:spacing w:lineRule="auto" w:line="360"/>
        <w:ind w:firstLine="720"/>
        <w:jc w:val="both"/>
        <w:rPr>
          <w:lang w:eastAsia="en-US"/>
        </w:rPr>
      </w:pPr>
      <w:r>
        <w:rPr>
          <w:lang w:eastAsia="en-US"/>
        </w:rPr>
        <w:t xml:space="preserve"> </w:t>
      </w:r>
      <w:r>
        <w:rPr>
          <w:lang w:eastAsia="en-US"/>
        </w:rPr>
        <w:t>(6) Длъжностните лица подписват декларация, че се задължават да не разгласяват обстоятелства от дейността на проверяваните лица, станали им известни при извършване на проверките, и за липса на конфликт на интереси по смисъла на Закона за противодействие на корупцията и за отнемане на незаконно придобитото имущество.</w:t>
      </w:r>
    </w:p>
    <w:p>
      <w:pPr>
        <w:pStyle w:val="Normal"/>
        <w:widowControl w:val="false"/>
        <w:spacing w:lineRule="auto" w:line="360" w:before="120" w:after="0"/>
        <w:ind w:firstLine="720"/>
        <w:jc w:val="both"/>
        <w:rPr>
          <w:rFonts w:eastAsia="Times New Roman"/>
          <w:lang w:eastAsia="en-US"/>
        </w:rPr>
      </w:pPr>
      <w:r>
        <w:rPr>
          <w:b/>
          <w:bCs/>
          <w:lang w:eastAsia="en-US"/>
        </w:rPr>
        <w:t>Чл. 42.</w:t>
      </w:r>
      <w:r>
        <w:rPr>
          <w:lang w:eastAsia="en-US"/>
        </w:rPr>
        <w:t xml:space="preserve"> (1) Резултатите от проверката се обобщават в доклад, който се представя на Комисията.</w:t>
      </w:r>
    </w:p>
    <w:p>
      <w:pPr>
        <w:pStyle w:val="Normal"/>
        <w:widowControl w:val="false"/>
        <w:spacing w:lineRule="auto" w:line="360"/>
        <w:ind w:firstLine="720"/>
        <w:jc w:val="both"/>
        <w:rPr>
          <w:rFonts w:eastAsia="Times New Roman"/>
          <w:lang w:eastAsia="en-US"/>
        </w:rPr>
      </w:pPr>
      <w:r>
        <w:rPr>
          <w:lang w:eastAsia="en-US"/>
        </w:rPr>
        <w:t>(2) Комисията разглежда заявлението за предоставяне на разрешение, документите по чл. 19 или 20 на ЗПООПЗПЕС и доклада по ал. 1 и се произнася със становище, като при необходимост изслушва представител на кандидата.</w:t>
      </w:r>
      <w:r>
        <w:rPr>
          <w:rFonts w:eastAsia="Times New Roman"/>
          <w:lang w:eastAsia="en-US"/>
        </w:rPr>
        <w:t xml:space="preserve"> </w:t>
      </w:r>
    </w:p>
    <w:p>
      <w:pPr>
        <w:pStyle w:val="Normal"/>
        <w:widowControl w:val="false"/>
        <w:spacing w:lineRule="auto" w:line="360" w:before="120" w:after="0"/>
        <w:ind w:firstLine="720"/>
        <w:jc w:val="both"/>
        <w:rPr>
          <w:lang w:eastAsia="en-US"/>
        </w:rPr>
      </w:pPr>
      <w:r>
        <w:rPr>
          <w:b/>
          <w:bCs/>
          <w:lang w:eastAsia="en-US"/>
        </w:rPr>
        <w:t>Чл. 43.</w:t>
      </w:r>
      <w:r>
        <w:rPr>
          <w:lang w:eastAsia="en-US"/>
        </w:rPr>
        <w:t xml:space="preserve"> (1) Министърът на земеделието, храните и горите</w:t>
      </w:r>
      <w:r>
        <w:rPr>
          <w:color w:val="000000"/>
        </w:rPr>
        <w:t xml:space="preserve"> </w:t>
      </w:r>
      <w:r>
        <w:rPr>
          <w:lang w:eastAsia="en-US"/>
        </w:rPr>
        <w:t xml:space="preserve">след запознаване със становището на комисията издава заповед за: </w:t>
      </w:r>
    </w:p>
    <w:p>
      <w:pPr>
        <w:pStyle w:val="Normal"/>
        <w:widowControl w:val="false"/>
        <w:spacing w:lineRule="auto" w:line="360" w:before="120" w:after="0"/>
        <w:ind w:firstLine="720"/>
        <w:jc w:val="both"/>
        <w:rPr>
          <w:lang w:eastAsia="en-US"/>
        </w:rPr>
      </w:pPr>
      <w:r>
        <w:rPr>
          <w:lang w:eastAsia="en-US"/>
        </w:rPr>
        <w:t>1. разрешение;</w:t>
      </w:r>
    </w:p>
    <w:p>
      <w:pPr>
        <w:pStyle w:val="Normal"/>
        <w:widowControl w:val="false"/>
        <w:spacing w:lineRule="auto" w:line="360" w:before="120" w:after="0"/>
        <w:ind w:firstLine="720"/>
        <w:jc w:val="both"/>
        <w:rPr>
          <w:rFonts w:eastAsia="Times New Roman"/>
          <w:lang w:eastAsia="en-US"/>
        </w:rPr>
      </w:pPr>
      <w:r>
        <w:rPr>
          <w:lang w:eastAsia="en-US"/>
        </w:rPr>
        <w:t>2. отказ.</w:t>
      </w:r>
    </w:p>
    <w:p>
      <w:pPr>
        <w:pStyle w:val="Normal"/>
        <w:widowControl w:val="false"/>
        <w:spacing w:lineRule="auto" w:line="360" w:before="120" w:after="0"/>
        <w:ind w:firstLine="720"/>
        <w:jc w:val="both"/>
        <w:rPr>
          <w:color w:val="000000"/>
        </w:rPr>
      </w:pPr>
      <w:r>
        <w:rPr>
          <w:lang w:eastAsia="en-US"/>
        </w:rPr>
        <w:t xml:space="preserve">(2) </w:t>
      </w:r>
      <w:r>
        <w:rPr>
          <w:color w:val="000000"/>
        </w:rPr>
        <w:t>Отказът се съобщава и може да се обжалва по реда на Административно-процесуалния кодекс. Обжалването не спира изпълнението.</w:t>
      </w:r>
    </w:p>
    <w:p>
      <w:pPr>
        <w:pStyle w:val="Normal"/>
        <w:widowControl w:val="false"/>
        <w:spacing w:lineRule="auto" w:line="360"/>
        <w:ind w:firstLine="720"/>
        <w:jc w:val="both"/>
        <w:rPr>
          <w:lang w:eastAsia="en-US"/>
        </w:rPr>
      </w:pPr>
      <w:r>
        <w:rPr>
          <w:lang w:eastAsia="en-US"/>
        </w:rPr>
        <w:t>(3) Контролиращите лица, които имат издадено разрешение от министъра на земеделието, храните и горите за осъществяване на контрол за съответствие на земеделските продукти и на храните с географски означения и с традиционно специфичен характер с тяхната спецификация, се вписват служебно в регистъра по чл. 54, ал. 1.</w:t>
      </w:r>
    </w:p>
    <w:p>
      <w:pPr>
        <w:pStyle w:val="Normal"/>
        <w:widowControl w:val="false"/>
        <w:spacing w:lineRule="auto" w:line="360"/>
        <w:ind w:firstLine="720"/>
        <w:jc w:val="both"/>
        <w:rPr>
          <w:rFonts w:eastAsia="Times New Roman"/>
          <w:lang w:eastAsia="en-US"/>
        </w:rPr>
      </w:pPr>
      <w:r>
        <w:rPr>
          <w:rFonts w:eastAsia="Times New Roman"/>
          <w:b/>
          <w:lang w:eastAsia="en-US"/>
        </w:rPr>
        <w:t>Чл. 44</w:t>
      </w:r>
      <w:r>
        <w:rPr>
          <w:rFonts w:eastAsia="Times New Roman"/>
          <w:lang w:eastAsia="en-US"/>
        </w:rPr>
        <w:t>. Временно разрешение по чл. 21а, ал. 2 от ЗПООПЗПЕС се издава по реда на чл. 41 – 43, като в производството не се извършват административни проверки на процедури, които са били проверявани при извършване на надзорни проверки и/или други проверки.</w:t>
      </w:r>
    </w:p>
    <w:p>
      <w:pPr>
        <w:pStyle w:val="Normal"/>
        <w:widowControl w:val="false"/>
        <w:spacing w:lineRule="auto" w:line="360" w:before="240" w:after="0"/>
        <w:jc w:val="center"/>
        <w:rPr>
          <w:bCs/>
          <w:spacing w:val="100"/>
          <w:lang w:eastAsia="en-US"/>
        </w:rPr>
      </w:pPr>
      <w:r>
        <w:rPr>
          <w:bCs/>
          <w:spacing w:val="100"/>
          <w:lang w:eastAsia="en-US"/>
        </w:rPr>
      </w:r>
      <w:r>
        <w:br w:type="page"/>
      </w:r>
    </w:p>
    <w:p>
      <w:pPr>
        <w:pStyle w:val="Normal"/>
        <w:widowControl w:val="false"/>
        <w:spacing w:lineRule="auto" w:line="360" w:before="240" w:after="0"/>
        <w:jc w:val="center"/>
        <w:rPr>
          <w:rFonts w:eastAsia="Times New Roman"/>
          <w:bCs/>
          <w:spacing w:val="100"/>
          <w:lang w:eastAsia="en-US"/>
        </w:rPr>
      </w:pPr>
      <w:r>
        <w:rPr>
          <w:bCs/>
          <w:spacing w:val="100"/>
          <w:lang w:eastAsia="en-US"/>
        </w:rPr>
        <w:t>Глава седма</w:t>
      </w:r>
    </w:p>
    <w:p>
      <w:pPr>
        <w:pStyle w:val="Normal"/>
        <w:widowControl w:val="false"/>
        <w:spacing w:lineRule="auto" w:line="360"/>
        <w:jc w:val="center"/>
        <w:rPr>
          <w:rFonts w:eastAsia="Times New Roman"/>
          <w:bCs/>
          <w:lang w:eastAsia="en-US"/>
        </w:rPr>
      </w:pPr>
      <w:r>
        <w:rPr>
          <w:bCs/>
          <w:lang w:eastAsia="en-US"/>
        </w:rPr>
        <w:t>КОНТРОЛ ЗА СЪОТВЕТСТВИЕ НА ЗЕМЕДЕЛСКИТЕ ПРОДУКТИ И НА ХРАНИТЕ С ГЕОГРАФСКИ ОЗНАЧЕНИЯ И С ТРАДИЦИОННО СПЕЦИФИЧЕН ХАРАКТЕР С ТЯХНАТА СПЕЦИФИКАЦИЯ</w:t>
      </w:r>
    </w:p>
    <w:p>
      <w:pPr>
        <w:pStyle w:val="Normal"/>
        <w:widowControl w:val="false"/>
        <w:spacing w:lineRule="auto" w:line="360" w:before="120" w:after="0"/>
        <w:ind w:firstLine="720"/>
        <w:jc w:val="both"/>
        <w:rPr>
          <w:rFonts w:eastAsia="Times New Roman"/>
          <w:lang w:eastAsia="en-US"/>
        </w:rPr>
      </w:pPr>
      <w:r>
        <w:rPr>
          <w:b/>
          <w:bCs/>
          <w:lang w:eastAsia="en-US"/>
        </w:rPr>
        <w:t>Чл. 45.</w:t>
      </w:r>
      <w:r>
        <w:rPr>
          <w:lang w:eastAsia="en-US"/>
        </w:rPr>
        <w:t xml:space="preserve"> Контролът за съответствие на земеделските продукти и на храните със защитени географски означения и с традиционно специфичен характер с тяхната спецификация се състои в контрол за съответствие с метода на производство и контрол за съответствие на произведения продукт със спецификацията.</w:t>
      </w:r>
    </w:p>
    <w:p>
      <w:pPr>
        <w:pStyle w:val="Normal"/>
        <w:widowControl w:val="false"/>
        <w:spacing w:lineRule="auto" w:line="360" w:before="120" w:after="0"/>
        <w:ind w:firstLine="720"/>
        <w:jc w:val="both"/>
        <w:rPr>
          <w:rFonts w:eastAsia="Times New Roman"/>
          <w:lang w:eastAsia="en-US"/>
        </w:rPr>
      </w:pPr>
      <w:r>
        <w:rPr>
          <w:b/>
          <w:bCs/>
          <w:lang w:eastAsia="en-US"/>
        </w:rPr>
        <w:t>Чл. 46.</w:t>
      </w:r>
      <w:r>
        <w:rPr>
          <w:lang w:eastAsia="en-US"/>
        </w:rPr>
        <w:t xml:space="preserve"> Контролът за съответствие се осъществява въз основа на договор между производителя на земеделските продукти и на храните с географски означения и с традиционно специфичен характер и контролиращото лице.</w:t>
      </w:r>
    </w:p>
    <w:p>
      <w:pPr>
        <w:pStyle w:val="Normal"/>
        <w:widowControl w:val="false"/>
        <w:spacing w:lineRule="auto" w:line="360" w:before="120" w:after="0"/>
        <w:ind w:firstLine="720"/>
        <w:jc w:val="both"/>
        <w:rPr>
          <w:rFonts w:eastAsia="Times New Roman"/>
          <w:lang w:eastAsia="en-US"/>
        </w:rPr>
      </w:pPr>
      <w:r>
        <w:rPr>
          <w:b/>
          <w:bCs/>
          <w:lang w:eastAsia="en-US"/>
        </w:rPr>
        <w:t>Чл. 47.</w:t>
      </w:r>
      <w:r>
        <w:rPr>
          <w:lang w:eastAsia="en-US"/>
        </w:rPr>
        <w:t xml:space="preserve"> (1) Контролиращото лице извършва цялостна първоначална проверка на производителя за готовността му да изпълнява спецификацията на земеделския продукт или храна с географско означение и с традиционно специфичен характер.</w:t>
      </w:r>
    </w:p>
    <w:p>
      <w:pPr>
        <w:pStyle w:val="Normal"/>
        <w:widowControl w:val="false"/>
        <w:spacing w:lineRule="auto" w:line="360"/>
        <w:ind w:firstLine="720"/>
        <w:jc w:val="both"/>
        <w:rPr>
          <w:rFonts w:eastAsia="Times New Roman"/>
          <w:lang w:eastAsia="en-US"/>
        </w:rPr>
      </w:pPr>
      <w:r>
        <w:rPr>
          <w:lang w:eastAsia="en-US"/>
        </w:rPr>
        <w:t>(2) За резултатите от проверката се изготвя контролен лист в три екземпляра, който се подписва от контролиращото лице и от производителя. Контролиращото лице и производителят получават по един екземпляр, а третият екземпляр се изпраща на компетентното звено в МЗХГ в 20-дневен срок.</w:t>
      </w:r>
    </w:p>
    <w:p>
      <w:pPr>
        <w:pStyle w:val="Normal"/>
        <w:widowControl w:val="false"/>
        <w:spacing w:lineRule="auto" w:line="360"/>
        <w:ind w:firstLine="720"/>
        <w:jc w:val="both"/>
        <w:rPr>
          <w:rFonts w:eastAsia="Times New Roman"/>
          <w:lang w:eastAsia="en-US"/>
        </w:rPr>
      </w:pPr>
      <w:r>
        <w:rPr>
          <w:lang w:eastAsia="en-US"/>
        </w:rPr>
        <w:t>(3) Контролният лист съдържа:</w:t>
      </w:r>
    </w:p>
    <w:p>
      <w:pPr>
        <w:pStyle w:val="Normal"/>
        <w:widowControl w:val="false"/>
        <w:spacing w:lineRule="auto" w:line="360"/>
        <w:ind w:firstLine="720"/>
        <w:jc w:val="both"/>
        <w:rPr>
          <w:rFonts w:eastAsia="Times New Roman"/>
          <w:lang w:eastAsia="en-US"/>
        </w:rPr>
      </w:pPr>
      <w:r>
        <w:rPr>
          <w:lang w:eastAsia="en-US"/>
        </w:rPr>
        <w:t>1. данни на производителя и на контролиращото лице;</w:t>
      </w:r>
    </w:p>
    <w:p>
      <w:pPr>
        <w:pStyle w:val="Normal"/>
        <w:widowControl w:val="false"/>
        <w:spacing w:lineRule="auto" w:line="360"/>
        <w:ind w:firstLine="720"/>
        <w:jc w:val="both"/>
        <w:rPr>
          <w:rFonts w:eastAsia="Times New Roman"/>
          <w:lang w:eastAsia="en-US"/>
        </w:rPr>
      </w:pPr>
      <w:r>
        <w:rPr>
          <w:lang w:eastAsia="en-US"/>
        </w:rPr>
        <w:t>2. оценка на производствените площи и/или помещения и други условия за спазване на продуктовата спецификация;</w:t>
      </w:r>
    </w:p>
    <w:p>
      <w:pPr>
        <w:pStyle w:val="Normal"/>
        <w:widowControl w:val="false"/>
        <w:spacing w:lineRule="auto" w:line="360"/>
        <w:ind w:firstLine="720"/>
        <w:jc w:val="both"/>
        <w:rPr>
          <w:rFonts w:eastAsia="Times New Roman"/>
          <w:lang w:eastAsia="en-US"/>
        </w:rPr>
      </w:pPr>
      <w:r>
        <w:rPr>
          <w:lang w:eastAsia="en-US"/>
        </w:rPr>
        <w:t>3. оценка на процедурата за проследяване на произхода на суровините и реализация на произведения продукт или храна, която производителят прилага в съответствие със спецификацията на продукта и чл. 4 от Регламент за изпълнение (ЕС) № 668/2014;</w:t>
      </w:r>
    </w:p>
    <w:p>
      <w:pPr>
        <w:pStyle w:val="Normal"/>
        <w:widowControl w:val="false"/>
        <w:spacing w:lineRule="auto" w:line="360"/>
        <w:ind w:firstLine="720"/>
        <w:jc w:val="both"/>
        <w:rPr>
          <w:rFonts w:eastAsia="Times New Roman"/>
          <w:lang w:eastAsia="en-US"/>
        </w:rPr>
      </w:pPr>
      <w:r>
        <w:rPr>
          <w:lang w:eastAsia="en-US"/>
        </w:rPr>
        <w:t>4. информация за произведени количества на продукта ;</w:t>
      </w:r>
    </w:p>
    <w:p>
      <w:pPr>
        <w:pStyle w:val="Normal"/>
        <w:widowControl w:val="false"/>
        <w:spacing w:lineRule="auto" w:line="360"/>
        <w:ind w:firstLine="720"/>
        <w:jc w:val="both"/>
        <w:rPr>
          <w:rFonts w:eastAsia="Times New Roman"/>
          <w:lang w:eastAsia="en-US"/>
        </w:rPr>
      </w:pPr>
      <w:r>
        <w:rPr>
          <w:lang w:eastAsia="en-US"/>
        </w:rPr>
        <w:t>5. резултати от направените лабораторни анализи;</w:t>
      </w:r>
    </w:p>
    <w:p>
      <w:pPr>
        <w:pStyle w:val="Normal"/>
        <w:widowControl w:val="false"/>
        <w:spacing w:lineRule="auto" w:line="360"/>
        <w:ind w:firstLine="720"/>
        <w:jc w:val="both"/>
        <w:rPr>
          <w:rFonts w:eastAsia="Times New Roman"/>
          <w:lang w:eastAsia="en-US"/>
        </w:rPr>
      </w:pPr>
      <w:r>
        <w:rPr>
          <w:lang w:eastAsia="en-US"/>
        </w:rPr>
        <w:t>6. установени нарушения и предписаните мерки и срока за тяхното изпълнение;</w:t>
      </w:r>
    </w:p>
    <w:p>
      <w:pPr>
        <w:pStyle w:val="Normal"/>
        <w:widowControl w:val="false"/>
        <w:spacing w:lineRule="auto" w:line="360"/>
        <w:ind w:firstLine="720"/>
        <w:jc w:val="both"/>
        <w:rPr>
          <w:rFonts w:eastAsia="Times New Roman"/>
          <w:lang w:eastAsia="en-US"/>
        </w:rPr>
      </w:pPr>
      <w:r>
        <w:rPr>
          <w:rFonts w:eastAsia="Times New Roman"/>
          <w:lang w:eastAsia="en-US"/>
        </w:rPr>
        <w:t xml:space="preserve">7. </w:t>
      </w:r>
      <w:r>
        <w:rPr>
          <w:lang w:eastAsia="en-US"/>
        </w:rPr>
        <w:t>други данни по преценка на контролиращото лице.</w:t>
      </w:r>
    </w:p>
    <w:p>
      <w:pPr>
        <w:pStyle w:val="Normal"/>
        <w:widowControl w:val="false"/>
        <w:spacing w:lineRule="auto" w:line="360" w:before="120" w:after="0"/>
        <w:ind w:firstLine="720"/>
        <w:jc w:val="both"/>
        <w:rPr>
          <w:rFonts w:eastAsia="Times New Roman"/>
          <w:lang w:eastAsia="en-US"/>
        </w:rPr>
      </w:pPr>
      <w:r>
        <w:rPr>
          <w:b/>
          <w:lang w:eastAsia="en-US"/>
        </w:rPr>
        <w:t>Чл. 48.</w:t>
      </w:r>
      <w:r>
        <w:rPr>
          <w:lang w:eastAsia="en-US"/>
        </w:rPr>
        <w:t xml:space="preserve"> Контролиращото лице предоставя на производителя сертификат за съответствие на продукта с неговата спецификация след вписването на производителя в регистъра на производителите на съответния продукт по чл. 54, ал. 1.</w:t>
      </w:r>
    </w:p>
    <w:p>
      <w:pPr>
        <w:pStyle w:val="Normal"/>
        <w:widowControl w:val="false"/>
        <w:spacing w:lineRule="auto" w:line="360" w:before="120" w:after="0"/>
        <w:ind w:firstLine="720"/>
        <w:jc w:val="both"/>
        <w:rPr>
          <w:rFonts w:eastAsia="Times New Roman"/>
          <w:lang w:eastAsia="en-US"/>
        </w:rPr>
      </w:pPr>
      <w:r>
        <w:rPr>
          <w:b/>
          <w:bCs/>
          <w:lang w:eastAsia="en-US"/>
        </w:rPr>
        <w:t>Чл. 49.</w:t>
      </w:r>
      <w:r>
        <w:rPr>
          <w:lang w:eastAsia="en-US"/>
        </w:rPr>
        <w:t xml:space="preserve"> (1) Контролиращото лице извършва задължителна годишна проверка на всички производители на земеделския продукт или храна със защитено географско означение и с традиционно специфичен характер.</w:t>
      </w:r>
    </w:p>
    <w:p>
      <w:pPr>
        <w:pStyle w:val="Normal"/>
        <w:widowControl w:val="false"/>
        <w:spacing w:lineRule="auto" w:line="360"/>
        <w:ind w:firstLine="720"/>
        <w:jc w:val="both"/>
        <w:rPr>
          <w:rFonts w:eastAsia="Times New Roman"/>
          <w:lang w:eastAsia="en-US"/>
        </w:rPr>
      </w:pPr>
      <w:r>
        <w:rPr>
          <w:lang w:eastAsia="en-US"/>
        </w:rPr>
        <w:t>(2) За резултатите от всяка проверка се изготвя контролен лист в три екземпляра, който се подписва от контролиращото лице и от производителя. Един екземпляр се изпраща на компетентното звено в МЗХГ в 20-дневен срок. Контролният лист съдържа данните по чл. 47, ал. 3.</w:t>
      </w:r>
    </w:p>
    <w:p>
      <w:pPr>
        <w:pStyle w:val="Normal"/>
        <w:widowControl w:val="false"/>
        <w:spacing w:lineRule="auto" w:line="360"/>
        <w:ind w:firstLine="720"/>
        <w:jc w:val="both"/>
        <w:rPr>
          <w:rFonts w:eastAsia="Times New Roman"/>
          <w:lang w:eastAsia="en-US"/>
        </w:rPr>
      </w:pPr>
      <w:r>
        <w:rPr>
          <w:lang w:eastAsia="en-US"/>
        </w:rPr>
        <w:t>(3) При завишаване на годишния обем на производство в размер над 10 % спрямо предходната година контролиращото лице има правото да изиска от производителя обяснения за причините за това и ги прилага към протокола.</w:t>
      </w:r>
    </w:p>
    <w:p>
      <w:pPr>
        <w:pStyle w:val="Normal"/>
        <w:widowControl w:val="false"/>
        <w:spacing w:lineRule="auto" w:line="360" w:before="120" w:after="0"/>
        <w:ind w:firstLine="720"/>
        <w:jc w:val="both"/>
        <w:rPr>
          <w:rFonts w:eastAsia="Times New Roman"/>
          <w:lang w:eastAsia="en-US"/>
        </w:rPr>
      </w:pPr>
      <w:r>
        <w:rPr>
          <w:b/>
          <w:bCs/>
          <w:lang w:eastAsia="en-US"/>
        </w:rPr>
        <w:t>Чл. 50.</w:t>
      </w:r>
      <w:r>
        <w:rPr>
          <w:lang w:eastAsia="en-US"/>
        </w:rPr>
        <w:t xml:space="preserve"> (1) Контролиращото лице може да извършва допълнителни планови или внезапни проверки, когато са установени несъответствия при извършване на годишната проверка, съответно при наличие на данни за несъответствия от страна на производителя.</w:t>
      </w:r>
    </w:p>
    <w:p>
      <w:pPr>
        <w:pStyle w:val="Normal"/>
        <w:widowControl w:val="false"/>
        <w:spacing w:lineRule="auto" w:line="360"/>
        <w:ind w:firstLine="720"/>
        <w:jc w:val="both"/>
        <w:rPr>
          <w:rFonts w:eastAsia="Times New Roman"/>
          <w:lang w:eastAsia="en-US"/>
        </w:rPr>
      </w:pPr>
      <w:r>
        <w:rPr>
          <w:lang w:eastAsia="en-US"/>
        </w:rPr>
        <w:t>(2) За резултатите от всяка проверка се изготвя контролен лист в три екземпляра, който се подписва от контролиращото лице и от производителя. Един екземпляр се изпраща на компетентното звено в МЗХГ в 20-дневен срок.</w:t>
      </w:r>
    </w:p>
    <w:p>
      <w:pPr>
        <w:pStyle w:val="Normal"/>
        <w:widowControl w:val="false"/>
        <w:spacing w:lineRule="auto" w:line="360" w:before="120" w:after="0"/>
        <w:ind w:firstLine="720"/>
        <w:jc w:val="both"/>
        <w:rPr>
          <w:rFonts w:eastAsia="Times New Roman"/>
          <w:lang w:eastAsia="en-US"/>
        </w:rPr>
      </w:pPr>
      <w:r>
        <w:rPr>
          <w:b/>
          <w:bCs/>
          <w:lang w:eastAsia="en-US"/>
        </w:rPr>
        <w:t>Чл. 51.</w:t>
      </w:r>
      <w:r>
        <w:rPr>
          <w:lang w:eastAsia="en-US"/>
        </w:rPr>
        <w:t xml:space="preserve"> (1) Проверките по чл. 47, 49 и 50 се извършват в съответствие с етапа на производствения процес:</w:t>
      </w:r>
    </w:p>
    <w:p>
      <w:pPr>
        <w:pStyle w:val="Normal"/>
        <w:widowControl w:val="false"/>
        <w:spacing w:lineRule="auto" w:line="360"/>
        <w:ind w:firstLine="720"/>
        <w:jc w:val="both"/>
        <w:rPr>
          <w:rFonts w:eastAsia="Times New Roman"/>
          <w:lang w:eastAsia="en-US"/>
        </w:rPr>
      </w:pPr>
      <w:r>
        <w:rPr>
          <w:lang w:eastAsia="en-US"/>
        </w:rPr>
        <w:t>1. по документи;</w:t>
      </w:r>
    </w:p>
    <w:p>
      <w:pPr>
        <w:pStyle w:val="Normal"/>
        <w:widowControl w:val="false"/>
        <w:spacing w:lineRule="auto" w:line="360"/>
        <w:ind w:firstLine="720"/>
        <w:jc w:val="both"/>
        <w:rPr>
          <w:rFonts w:eastAsia="Times New Roman"/>
          <w:lang w:eastAsia="en-US"/>
        </w:rPr>
      </w:pPr>
      <w:r>
        <w:rPr>
          <w:lang w:eastAsia="en-US"/>
        </w:rPr>
        <w:t>2. визуално;</w:t>
      </w:r>
    </w:p>
    <w:p>
      <w:pPr>
        <w:pStyle w:val="Normal"/>
        <w:widowControl w:val="false"/>
        <w:spacing w:lineRule="auto" w:line="360"/>
        <w:ind w:firstLine="720"/>
        <w:jc w:val="both"/>
        <w:rPr>
          <w:rFonts w:eastAsia="Times New Roman"/>
          <w:lang w:eastAsia="en-US"/>
        </w:rPr>
      </w:pPr>
      <w:r>
        <w:rPr>
          <w:lang w:eastAsia="en-US"/>
        </w:rPr>
        <w:t>3. чрез измервания;</w:t>
      </w:r>
    </w:p>
    <w:p>
      <w:pPr>
        <w:pStyle w:val="Normal"/>
        <w:widowControl w:val="false"/>
        <w:spacing w:lineRule="auto" w:line="360"/>
        <w:ind w:firstLine="720"/>
        <w:jc w:val="both"/>
        <w:rPr>
          <w:rFonts w:eastAsia="Times New Roman"/>
          <w:lang w:eastAsia="en-US"/>
        </w:rPr>
      </w:pPr>
      <w:r>
        <w:rPr>
          <w:lang w:eastAsia="en-US"/>
        </w:rPr>
        <w:t>4. чрез вземане на проби и анализи, включително от търговската мрежа по преценка на контролиращото лице;</w:t>
      </w:r>
    </w:p>
    <w:p>
      <w:pPr>
        <w:pStyle w:val="Normal"/>
        <w:widowControl w:val="false"/>
        <w:spacing w:lineRule="auto" w:line="360"/>
        <w:ind w:firstLine="720"/>
        <w:jc w:val="both"/>
        <w:rPr>
          <w:rFonts w:eastAsia="Times New Roman"/>
          <w:lang w:eastAsia="en-US"/>
        </w:rPr>
      </w:pPr>
      <w:r>
        <w:rPr>
          <w:lang w:eastAsia="en-US"/>
        </w:rPr>
        <w:t>5. по друг начин, избран от контролиращото лице.</w:t>
      </w:r>
    </w:p>
    <w:p>
      <w:pPr>
        <w:pStyle w:val="Normal"/>
        <w:widowControl w:val="false"/>
        <w:spacing w:lineRule="auto" w:line="360"/>
        <w:ind w:firstLine="720"/>
        <w:jc w:val="both"/>
        <w:rPr>
          <w:rFonts w:eastAsia="Times New Roman"/>
          <w:lang w:eastAsia="en-US"/>
        </w:rPr>
      </w:pPr>
      <w:r>
        <w:rPr>
          <w:lang w:eastAsia="en-US"/>
        </w:rPr>
        <w:t>(2) Контролиращото лице посочва в контролните листа по чл. 47, ал. 3, чл. 49, ал. 2 и чл. 50, ал. 2 начина, по който е извършило проверката съгласно ал. 1.</w:t>
      </w:r>
    </w:p>
    <w:p>
      <w:pPr>
        <w:pStyle w:val="Normal"/>
        <w:widowControl w:val="false"/>
        <w:spacing w:lineRule="auto" w:line="360"/>
        <w:ind w:firstLine="720"/>
        <w:jc w:val="both"/>
        <w:rPr>
          <w:lang w:eastAsia="en-US"/>
        </w:rPr>
      </w:pPr>
      <w:r>
        <w:rPr>
          <w:lang w:eastAsia="en-US"/>
        </w:rPr>
        <w:t xml:space="preserve">(3) Контролиращото лице представя ежегодно до 31 януари на министъра на земеделието, храните и горите годишен отчет за предходната година и списък на лицата, върху които са упражнили контрол по отношение на съответствието на земеделските продукти и храни с традиционно специфичен характер или защитено географско означение със спецификацията на продукта или храната; </w:t>
      </w:r>
    </w:p>
    <w:p>
      <w:pPr>
        <w:pStyle w:val="Normal"/>
        <w:widowControl w:val="false"/>
        <w:spacing w:lineRule="auto" w:line="360"/>
        <w:ind w:firstLine="720"/>
        <w:jc w:val="both"/>
        <w:rPr>
          <w:rFonts w:eastAsia="Times New Roman"/>
          <w:lang w:eastAsia="en-US"/>
        </w:rPr>
      </w:pPr>
      <w:r>
        <w:rPr>
          <w:lang w:eastAsia="en-US"/>
        </w:rPr>
        <w:t>(4) Годишният отчет по ал. 3 следва да включва обобщена информация от извършените проверки, техните резултати, предписани мерки и срокове за тяхното изпълнение, както и обобщена информация за произведените количества и извършен износ на продуктите.</w:t>
      </w:r>
    </w:p>
    <w:p>
      <w:pPr>
        <w:pStyle w:val="Normal"/>
        <w:widowControl w:val="false"/>
        <w:spacing w:lineRule="auto" w:line="360" w:before="120" w:after="0"/>
        <w:ind w:firstLine="720"/>
        <w:jc w:val="both"/>
        <w:rPr>
          <w:rFonts w:eastAsia="Times New Roman"/>
          <w:lang w:eastAsia="en-US"/>
        </w:rPr>
      </w:pPr>
      <w:r>
        <w:rPr>
          <w:b/>
        </w:rPr>
        <w:t>Чл. 52.</w:t>
      </w:r>
      <w:r>
        <w:rPr/>
        <w:t xml:space="preserve"> Когато производител сключи договор за контрол по чл. 46 с друго контролиращо лице, предходното контролиращо лице е длъжно да предостави на новото контролиращото лице копие на контролните листа от извършените проверки при производителя по чл. 47, чл. 49 и чл. 50 за предходната година и копие на сертификата за съответствие.  </w:t>
      </w:r>
    </w:p>
    <w:p>
      <w:pPr>
        <w:pStyle w:val="Normal"/>
        <w:widowControl w:val="false"/>
        <w:spacing w:lineRule="auto" w:line="360" w:before="120" w:after="0"/>
        <w:ind w:firstLine="720"/>
        <w:jc w:val="both"/>
        <w:rPr>
          <w:rFonts w:eastAsia="Times New Roman"/>
          <w:lang w:eastAsia="en-US"/>
        </w:rPr>
      </w:pPr>
      <w:r>
        <w:rPr>
          <w:b/>
          <w:bCs/>
          <w:lang w:eastAsia="en-US"/>
        </w:rPr>
        <w:t>Чл. 53.</w:t>
      </w:r>
      <w:r>
        <w:rPr>
          <w:lang w:eastAsia="en-US"/>
        </w:rPr>
        <w:t xml:space="preserve"> (1) Надзорът върху контролиращите лица по чл. 18, ал. 2 на ЗПООПЗПЕС се възлага от министъра на земеделието, храните и горите на длъжностни лица от компетентното звено в МЗХГ. При необходимост в надзора могат да участват и други длъжностни лица, определени от министъра на земеделието, храните и горите.</w:t>
      </w:r>
    </w:p>
    <w:p>
      <w:pPr>
        <w:pStyle w:val="Normal"/>
        <w:widowControl w:val="false"/>
        <w:spacing w:lineRule="auto" w:line="360"/>
        <w:ind w:firstLine="720"/>
        <w:jc w:val="both"/>
        <w:rPr>
          <w:rFonts w:eastAsia="Times New Roman"/>
          <w:lang w:eastAsia="en-US"/>
        </w:rPr>
      </w:pPr>
      <w:r>
        <w:rPr>
          <w:lang w:eastAsia="en-US"/>
        </w:rPr>
        <w:t>(2) Надзорът се осъществява чрез документални проверки и чрез проверки на място при производителите и/или контролиращите лица. За извършените проверки на място длъжностните лица изготвят протокол. Копие от протокола се изпраща на поднадзорното лице.</w:t>
      </w:r>
    </w:p>
    <w:p>
      <w:pPr>
        <w:pStyle w:val="Normal"/>
        <w:widowControl w:val="false"/>
        <w:spacing w:lineRule="auto" w:line="360" w:before="240" w:after="0"/>
        <w:jc w:val="center"/>
        <w:rPr>
          <w:rFonts w:eastAsia="Times New Roman"/>
          <w:bCs/>
          <w:spacing w:val="100"/>
          <w:lang w:eastAsia="en-US"/>
        </w:rPr>
      </w:pPr>
      <w:r>
        <w:rPr>
          <w:bCs/>
          <w:spacing w:val="100"/>
          <w:lang w:eastAsia="en-US"/>
        </w:rPr>
        <w:t>Глава осма</w:t>
      </w:r>
    </w:p>
    <w:p>
      <w:pPr>
        <w:pStyle w:val="Normal"/>
        <w:widowControl w:val="false"/>
        <w:spacing w:lineRule="auto" w:line="360"/>
        <w:jc w:val="center"/>
        <w:rPr>
          <w:rFonts w:eastAsia="Times New Roman"/>
          <w:bCs/>
          <w:lang w:eastAsia="en-US"/>
        </w:rPr>
      </w:pPr>
      <w:r>
        <w:rPr>
          <w:bCs/>
          <w:lang w:eastAsia="en-US"/>
        </w:rPr>
        <w:t>РЕГИСТЪР</w:t>
      </w:r>
    </w:p>
    <w:p>
      <w:pPr>
        <w:pStyle w:val="Normal"/>
        <w:widowControl w:val="false"/>
        <w:spacing w:lineRule="auto" w:line="360" w:before="120" w:after="0"/>
        <w:jc w:val="center"/>
        <w:rPr>
          <w:rFonts w:eastAsia="Times New Roman"/>
          <w:bCs/>
          <w:lang w:eastAsia="en-US"/>
        </w:rPr>
      </w:pPr>
      <w:r>
        <w:rPr>
          <w:bCs/>
          <w:lang w:eastAsia="en-US"/>
        </w:rPr>
        <w:t>Раздел I</w:t>
      </w:r>
    </w:p>
    <w:p>
      <w:pPr>
        <w:pStyle w:val="Normal"/>
        <w:widowControl w:val="false"/>
        <w:spacing w:lineRule="auto" w:line="360"/>
        <w:jc w:val="center"/>
        <w:rPr>
          <w:rFonts w:eastAsia="Times New Roman"/>
          <w:b/>
          <w:b/>
          <w:bCs/>
          <w:lang w:eastAsia="en-US"/>
        </w:rPr>
      </w:pPr>
      <w:r>
        <w:rPr>
          <w:b/>
          <w:bCs/>
          <w:lang w:eastAsia="en-US"/>
        </w:rPr>
        <w:t>Общи положения</w:t>
      </w:r>
    </w:p>
    <w:p>
      <w:pPr>
        <w:pStyle w:val="Normal"/>
        <w:spacing w:lineRule="auto" w:line="360"/>
        <w:ind w:firstLine="720"/>
        <w:jc w:val="both"/>
        <w:textAlignment w:val="center"/>
        <w:rPr/>
      </w:pPr>
      <w:r>
        <w:rPr>
          <w:b/>
          <w:color w:val="000000"/>
        </w:rPr>
        <w:t>Чл. 54.</w:t>
      </w:r>
      <w:r>
        <w:rPr>
          <w:color w:val="000000"/>
        </w:rPr>
        <w:t xml:space="preserve"> (1) Министерството на земеделието, храните и горите създава и поддържа на </w:t>
      </w:r>
      <w:hyperlink r:id="rId3" w:tgtFrame="_blank">
        <w:r>
          <w:rPr>
            <w:rStyle w:val="InternetLink"/>
          </w:rPr>
          <w:t>интернет страницата</w:t>
        </w:r>
      </w:hyperlink>
      <w:r>
        <w:rPr>
          <w:color w:val="000000"/>
        </w:rPr>
        <w:t xml:space="preserve"> си публичен електронен регистър на:</w:t>
      </w:r>
    </w:p>
    <w:p>
      <w:pPr>
        <w:pStyle w:val="Normal"/>
        <w:spacing w:lineRule="auto" w:line="360"/>
        <w:ind w:firstLine="720"/>
        <w:jc w:val="both"/>
        <w:textAlignment w:val="center"/>
        <w:rPr>
          <w:color w:val="000000"/>
        </w:rPr>
      </w:pPr>
      <w:r>
        <w:rPr>
          <w:color w:val="000000"/>
        </w:rPr>
        <w:t>1. производителите на земеделски продукти и храни с географски означения;</w:t>
      </w:r>
    </w:p>
    <w:p>
      <w:pPr>
        <w:pStyle w:val="Normal"/>
        <w:spacing w:lineRule="auto" w:line="360"/>
        <w:ind w:firstLine="720"/>
        <w:jc w:val="both"/>
        <w:textAlignment w:val="center"/>
        <w:rPr>
          <w:color w:val="000000"/>
        </w:rPr>
      </w:pPr>
      <w:r>
        <w:rPr>
          <w:color w:val="000000"/>
        </w:rPr>
        <w:t>2. производителите на земеделски продукти и храни с традиционно специфичен характер;</w:t>
      </w:r>
    </w:p>
    <w:p>
      <w:pPr>
        <w:pStyle w:val="Normal"/>
        <w:spacing w:lineRule="auto" w:line="360"/>
        <w:ind w:firstLine="720"/>
        <w:jc w:val="both"/>
        <w:textAlignment w:val="center"/>
        <w:rPr>
          <w:color w:val="000000"/>
        </w:rPr>
      </w:pPr>
      <w:r>
        <w:rPr>
          <w:color w:val="000000"/>
        </w:rPr>
        <w:t>3. лицата, които осъществяват контрол за съответствие на продуктите и храните с географски означения и с традиционно специфичен характер;</w:t>
      </w:r>
    </w:p>
    <w:p>
      <w:pPr>
        <w:pStyle w:val="Normal"/>
        <w:widowControl w:val="false"/>
        <w:spacing w:lineRule="auto" w:line="360" w:before="120" w:after="0"/>
        <w:ind w:firstLine="720"/>
        <w:jc w:val="both"/>
        <w:rPr>
          <w:color w:val="000000"/>
        </w:rPr>
      </w:pPr>
      <w:r>
        <w:rPr>
          <w:color w:val="000000"/>
        </w:rPr>
        <w:t xml:space="preserve">(2) Регистърът се създава и поддържа в съответствие </w:t>
      </w:r>
      <w:r>
        <w:rPr/>
        <w:t xml:space="preserve">със </w:t>
      </w:r>
      <w:r>
        <w:rPr>
          <w:rStyle w:val="Newdocreference1"/>
          <w:color w:val="auto"/>
          <w:u w:val="none"/>
        </w:rPr>
        <w:t>Закона за електронното управление</w:t>
      </w:r>
      <w:r>
        <w:rPr/>
        <w:t xml:space="preserve"> </w:t>
      </w:r>
      <w:r>
        <w:rPr>
          <w:color w:val="000000"/>
        </w:rPr>
        <w:t>и при спазване изискванията за защита на личните данни.</w:t>
      </w:r>
    </w:p>
    <w:p>
      <w:pPr>
        <w:pStyle w:val="Normal"/>
        <w:widowControl w:val="false"/>
        <w:spacing w:lineRule="auto" w:line="360"/>
        <w:ind w:firstLine="720"/>
        <w:jc w:val="both"/>
        <w:rPr>
          <w:rFonts w:eastAsia="Times New Roman"/>
          <w:highlight w:val="yellow"/>
          <w:lang w:eastAsia="en-US"/>
        </w:rPr>
      </w:pPr>
      <w:r>
        <w:rPr>
          <w:b/>
          <w:bCs/>
          <w:lang w:eastAsia="en-US"/>
        </w:rPr>
        <w:t>Чл. 55.</w:t>
      </w:r>
      <w:r>
        <w:rPr>
          <w:lang w:eastAsia="en-US"/>
        </w:rPr>
        <w:t xml:space="preserve"> Вписванията в регистъра и неговото актуализиране </w:t>
      </w:r>
      <w:r>
        <w:rPr>
          <w:color w:val="000000"/>
        </w:rPr>
        <w:t>се извършват служебно от длъжностни лица на компетентното звено.</w:t>
      </w:r>
    </w:p>
    <w:p>
      <w:pPr>
        <w:pStyle w:val="Normal"/>
        <w:widowControl w:val="false"/>
        <w:spacing w:lineRule="auto" w:line="360" w:before="120" w:after="0"/>
        <w:ind w:firstLine="720"/>
        <w:jc w:val="both"/>
        <w:rPr>
          <w:rFonts w:eastAsia="Times New Roman"/>
          <w:lang w:eastAsia="en-US"/>
        </w:rPr>
      </w:pPr>
      <w:r>
        <w:rPr>
          <w:b/>
          <w:color w:val="000000"/>
        </w:rPr>
        <w:t>Чл. 56</w:t>
      </w:r>
      <w:r>
        <w:rPr>
          <w:color w:val="000000"/>
        </w:rPr>
        <w:t xml:space="preserve">. Вписаните в регистъра по </w:t>
      </w:r>
      <w:r>
        <w:rPr>
          <w:rStyle w:val="Samedocreference1"/>
          <w:color w:val="auto"/>
          <w:u w:val="none"/>
        </w:rPr>
        <w:t xml:space="preserve">чл. 54 </w:t>
      </w:r>
      <w:r>
        <w:rPr>
          <w:color w:val="000000"/>
        </w:rPr>
        <w:t>лица са длъжни да предоставят информация в Министерството на земеделието, храните и горите за всички настъпили промени във вписаните обстоятелства в срок до 10 дни от настъпването на промяната.</w:t>
      </w:r>
    </w:p>
    <w:p>
      <w:pPr>
        <w:pStyle w:val="Normal"/>
        <w:widowControl w:val="false"/>
        <w:spacing w:lineRule="auto" w:line="360" w:before="120" w:after="0"/>
        <w:jc w:val="center"/>
        <w:rPr>
          <w:bCs/>
          <w:lang w:eastAsia="en-US"/>
        </w:rPr>
      </w:pPr>
      <w:r>
        <w:rPr>
          <w:bCs/>
          <w:lang w:eastAsia="en-US"/>
        </w:rPr>
      </w:r>
      <w:r>
        <w:br w:type="page"/>
      </w:r>
    </w:p>
    <w:p>
      <w:pPr>
        <w:pStyle w:val="Normal"/>
        <w:widowControl w:val="false"/>
        <w:spacing w:lineRule="auto" w:line="360" w:before="120" w:after="0"/>
        <w:jc w:val="center"/>
        <w:rPr>
          <w:rFonts w:eastAsia="Times New Roman"/>
          <w:bCs/>
          <w:lang w:eastAsia="en-US"/>
        </w:rPr>
      </w:pPr>
      <w:r>
        <w:rPr>
          <w:bCs/>
          <w:lang w:eastAsia="en-US"/>
        </w:rPr>
        <w:t>Раздел IІ</w:t>
      </w:r>
    </w:p>
    <w:p>
      <w:pPr>
        <w:pStyle w:val="Normal"/>
        <w:widowControl w:val="false"/>
        <w:spacing w:lineRule="auto" w:line="360"/>
        <w:jc w:val="center"/>
        <w:rPr>
          <w:rFonts w:eastAsia="Times New Roman"/>
          <w:b/>
          <w:b/>
          <w:bCs/>
          <w:lang w:eastAsia="en-US"/>
        </w:rPr>
      </w:pPr>
      <w:r>
        <w:rPr>
          <w:b/>
          <w:bCs/>
          <w:lang w:eastAsia="en-US"/>
        </w:rPr>
        <w:t>Вписване на производителите на земеделски продукти и храни с географски означения</w:t>
      </w:r>
    </w:p>
    <w:p>
      <w:pPr>
        <w:pStyle w:val="Normal"/>
        <w:widowControl w:val="false"/>
        <w:spacing w:lineRule="auto" w:line="360" w:before="120" w:after="0"/>
        <w:ind w:firstLine="720"/>
        <w:jc w:val="both"/>
        <w:rPr>
          <w:rFonts w:eastAsia="Times New Roman"/>
          <w:lang w:eastAsia="en-US"/>
        </w:rPr>
      </w:pPr>
      <w:r>
        <w:rPr>
          <w:b/>
          <w:bCs/>
          <w:lang w:eastAsia="en-US"/>
        </w:rPr>
        <w:t>Чл. 5</w:t>
      </w:r>
      <w:r>
        <w:rPr>
          <w:rFonts w:eastAsia="Times New Roman"/>
          <w:b/>
          <w:bCs/>
          <w:lang w:eastAsia="en-US"/>
        </w:rPr>
        <w:t>7.</w:t>
      </w:r>
      <w:r>
        <w:rPr>
          <w:lang w:eastAsia="en-US"/>
        </w:rPr>
        <w:t xml:space="preserve"> (1) Производителите на земеделски продукти и храни със защитени географски означения, които са членове на група производители, подала заявление за вписване, се вписват служебно в регистъра.</w:t>
      </w:r>
    </w:p>
    <w:p>
      <w:pPr>
        <w:pStyle w:val="Normal"/>
        <w:widowControl w:val="false"/>
        <w:spacing w:lineRule="auto" w:line="360"/>
        <w:ind w:firstLine="720"/>
        <w:jc w:val="both"/>
        <w:rPr>
          <w:rFonts w:eastAsia="Times New Roman"/>
          <w:lang w:eastAsia="en-US"/>
        </w:rPr>
      </w:pPr>
      <w:r>
        <w:rPr>
          <w:lang w:eastAsia="en-US"/>
        </w:rPr>
        <w:t>(2) Производител на земеделски продукти и храни със защитени географски означения, който не членува в група производители по ал. 1, е длъжен да подаде писмено заявление за вписване до компетентното звено в МЗХГ.</w:t>
      </w:r>
    </w:p>
    <w:p>
      <w:pPr>
        <w:pStyle w:val="Normal"/>
        <w:widowControl w:val="false"/>
        <w:spacing w:lineRule="auto" w:line="360"/>
        <w:ind w:firstLine="720"/>
        <w:jc w:val="both"/>
        <w:rPr>
          <w:rFonts w:eastAsia="Times New Roman"/>
          <w:lang w:eastAsia="en-US"/>
        </w:rPr>
      </w:pPr>
      <w:r>
        <w:rPr>
          <w:lang w:eastAsia="en-US"/>
        </w:rPr>
        <w:t>(3) Производител, който се е присъединил към група производители по ал. 1 след регистрацията на земеделския продукт или храна в Европейския регистър на защитените наименования за произход и защитените географски указания, е длъжен да подаде писмено заявление за вписване до компетентното звено в МЗХГ.</w:t>
      </w:r>
    </w:p>
    <w:p>
      <w:pPr>
        <w:pStyle w:val="Normal"/>
        <w:widowControl w:val="false"/>
        <w:spacing w:lineRule="auto" w:line="360"/>
        <w:ind w:firstLine="720"/>
        <w:jc w:val="both"/>
        <w:rPr>
          <w:rFonts w:eastAsia="Times New Roman"/>
          <w:lang w:eastAsia="en-US"/>
        </w:rPr>
      </w:pPr>
      <w:r>
        <w:rPr>
          <w:lang w:eastAsia="en-US"/>
        </w:rPr>
        <w:t>(4) Заявленията по ал. 2 и 3 се подават съгласно Приложение № 6.</w:t>
      </w:r>
    </w:p>
    <w:p>
      <w:pPr>
        <w:pStyle w:val="Normal"/>
        <w:widowControl w:val="false"/>
        <w:spacing w:lineRule="auto" w:line="360"/>
        <w:ind w:firstLine="720"/>
        <w:jc w:val="both"/>
        <w:rPr>
          <w:rFonts w:eastAsia="Times New Roman"/>
          <w:lang w:eastAsia="en-US"/>
        </w:rPr>
      </w:pPr>
      <w:r>
        <w:rPr>
          <w:lang w:eastAsia="en-US"/>
        </w:rPr>
        <w:t>(5) Заявленията се придружават от копие на договора за контрол на съответствие и контролния лист от първоначалната проверка съгласно чл. 47, ал. 3 и документите по чл. 7, ал. 2, т. 2 – 4 и 7.</w:t>
      </w:r>
    </w:p>
    <w:p>
      <w:pPr>
        <w:pStyle w:val="Normal"/>
        <w:widowControl w:val="false"/>
        <w:spacing w:lineRule="auto" w:line="360"/>
        <w:ind w:firstLine="720"/>
        <w:jc w:val="both"/>
        <w:rPr>
          <w:rFonts w:eastAsia="Times New Roman"/>
          <w:lang w:eastAsia="en-US"/>
        </w:rPr>
      </w:pPr>
      <w:r>
        <w:rPr>
          <w:lang w:eastAsia="en-US"/>
        </w:rPr>
        <w:t xml:space="preserve">(6) Заявленията се разглеждат по реда на чл. 10. </w:t>
      </w:r>
    </w:p>
    <w:p>
      <w:pPr>
        <w:pStyle w:val="Normal"/>
        <w:widowControl w:val="false"/>
        <w:spacing w:lineRule="auto" w:line="360"/>
        <w:ind w:firstLine="720"/>
        <w:jc w:val="both"/>
        <w:rPr>
          <w:rFonts w:eastAsia="Times New Roman"/>
          <w:lang w:eastAsia="en-US"/>
        </w:rPr>
      </w:pPr>
      <w:r>
        <w:rPr>
          <w:lang w:eastAsia="en-US"/>
        </w:rPr>
        <w:t xml:space="preserve">(7) След приключване на проверката на място се изготвя доклад до Комисията, която разглежда заявлението и доклада и предлага решение за вписване или мотивиран отказ. </w:t>
      </w:r>
    </w:p>
    <w:p>
      <w:pPr>
        <w:pStyle w:val="Normal"/>
        <w:widowControl w:val="false"/>
        <w:spacing w:lineRule="auto" w:line="360"/>
        <w:ind w:firstLine="720"/>
        <w:jc w:val="both"/>
        <w:rPr>
          <w:rFonts w:eastAsia="Times New Roman"/>
          <w:lang w:eastAsia="en-US"/>
        </w:rPr>
      </w:pPr>
      <w:r>
        <w:rPr>
          <w:lang w:eastAsia="en-US"/>
        </w:rPr>
        <w:t>(8) Вписването в регистъра се извършва въз основа на заповед на министъра на земеделието, храните и горите.</w:t>
      </w:r>
    </w:p>
    <w:p>
      <w:pPr>
        <w:pStyle w:val="Normal"/>
        <w:widowControl w:val="false"/>
        <w:spacing w:lineRule="auto" w:line="360" w:before="120" w:after="0"/>
        <w:ind w:firstLine="720"/>
        <w:jc w:val="both"/>
        <w:rPr>
          <w:rFonts w:eastAsia="Times New Roman"/>
          <w:lang w:eastAsia="en-US"/>
        </w:rPr>
      </w:pPr>
      <w:r>
        <w:rPr>
          <w:b/>
          <w:bCs/>
          <w:lang w:eastAsia="en-US"/>
        </w:rPr>
        <w:t>Чл. 5</w:t>
      </w:r>
      <w:r>
        <w:rPr>
          <w:rFonts w:eastAsia="Times New Roman"/>
          <w:b/>
          <w:bCs/>
          <w:lang w:eastAsia="en-US"/>
        </w:rPr>
        <w:t xml:space="preserve">8. </w:t>
      </w:r>
      <w:r>
        <w:rPr>
          <w:lang w:eastAsia="en-US"/>
        </w:rPr>
        <w:t>В регистъра се вписват:</w:t>
      </w:r>
    </w:p>
    <w:p>
      <w:pPr>
        <w:pStyle w:val="Normal"/>
        <w:widowControl w:val="false"/>
        <w:spacing w:lineRule="auto" w:line="360"/>
        <w:ind w:firstLine="720"/>
        <w:jc w:val="both"/>
        <w:rPr>
          <w:rFonts w:eastAsia="Times New Roman"/>
          <w:lang w:eastAsia="en-US"/>
        </w:rPr>
      </w:pPr>
      <w:r>
        <w:rPr>
          <w:lang w:eastAsia="en-US"/>
        </w:rPr>
        <w:t>1. номер и датата на заповед на министъра на земеделието, храните и горите;</w:t>
      </w:r>
    </w:p>
    <w:p>
      <w:pPr>
        <w:pStyle w:val="Normal"/>
        <w:widowControl w:val="false"/>
        <w:spacing w:lineRule="auto" w:line="360"/>
        <w:ind w:firstLine="720"/>
        <w:jc w:val="both"/>
        <w:rPr>
          <w:rFonts w:eastAsia="Times New Roman"/>
          <w:lang w:eastAsia="en-US"/>
        </w:rPr>
      </w:pPr>
      <w:r>
        <w:rPr>
          <w:lang w:eastAsia="en-US"/>
        </w:rPr>
        <w:t>2. наименованието на производителя;</w:t>
      </w:r>
    </w:p>
    <w:p>
      <w:pPr>
        <w:pStyle w:val="Normal"/>
        <w:widowControl w:val="false"/>
        <w:spacing w:lineRule="auto" w:line="360"/>
        <w:ind w:firstLine="720"/>
        <w:jc w:val="both"/>
        <w:rPr>
          <w:rFonts w:eastAsia="Times New Roman"/>
          <w:lang w:eastAsia="en-US"/>
        </w:rPr>
      </w:pPr>
      <w:r>
        <w:rPr>
          <w:lang w:eastAsia="en-US"/>
        </w:rPr>
        <w:t>3. ЕИК, седалището и адресът на управление на заявителя;</w:t>
      </w:r>
    </w:p>
    <w:p>
      <w:pPr>
        <w:pStyle w:val="Normal"/>
        <w:widowControl w:val="false"/>
        <w:spacing w:lineRule="auto" w:line="360"/>
        <w:ind w:firstLine="720"/>
        <w:jc w:val="both"/>
        <w:rPr>
          <w:rFonts w:eastAsia="Times New Roman"/>
          <w:lang w:eastAsia="en-US"/>
        </w:rPr>
      </w:pPr>
      <w:r>
        <w:rPr>
          <w:lang w:eastAsia="en-US"/>
        </w:rPr>
        <w:t>4. мястото на производствена дейност;</w:t>
      </w:r>
    </w:p>
    <w:p>
      <w:pPr>
        <w:pStyle w:val="Normal"/>
        <w:widowControl w:val="false"/>
        <w:spacing w:lineRule="auto" w:line="360"/>
        <w:ind w:firstLine="720"/>
        <w:jc w:val="both"/>
        <w:rPr>
          <w:rFonts w:eastAsia="Times New Roman"/>
          <w:lang w:eastAsia="en-US"/>
        </w:rPr>
      </w:pPr>
      <w:r>
        <w:rPr>
          <w:lang w:eastAsia="en-US"/>
        </w:rPr>
        <w:t>5. контролиращото лице;</w:t>
      </w:r>
    </w:p>
    <w:p>
      <w:pPr>
        <w:pStyle w:val="Normal"/>
        <w:widowControl w:val="false"/>
        <w:spacing w:lineRule="auto" w:line="360"/>
        <w:ind w:firstLine="720"/>
        <w:jc w:val="both"/>
        <w:rPr>
          <w:rFonts w:eastAsia="Times New Roman"/>
          <w:lang w:eastAsia="en-US"/>
        </w:rPr>
      </w:pPr>
      <w:r>
        <w:rPr>
          <w:lang w:eastAsia="en-US"/>
        </w:rPr>
        <w:t>6. серия, номер и дата на Официалния вестник на Европейския съюз, в който е публикуван регламентът за вписване на защитеното географско означение;</w:t>
      </w:r>
    </w:p>
    <w:p>
      <w:pPr>
        <w:pStyle w:val="Normal"/>
        <w:widowControl w:val="false"/>
        <w:spacing w:lineRule="auto" w:line="360"/>
        <w:ind w:firstLine="720"/>
        <w:jc w:val="both"/>
        <w:rPr>
          <w:rFonts w:eastAsia="Times New Roman"/>
          <w:lang w:eastAsia="en-US"/>
        </w:rPr>
      </w:pPr>
      <w:r>
        <w:rPr>
          <w:rFonts w:eastAsia="Times New Roman"/>
          <w:lang w:eastAsia="en-US"/>
        </w:rPr>
        <w:t xml:space="preserve">7. </w:t>
      </w:r>
      <w:r>
        <w:rPr>
          <w:lang w:eastAsia="en-US"/>
        </w:rPr>
        <w:t>промените във вписаните обстоятелства.</w:t>
      </w:r>
    </w:p>
    <w:p>
      <w:pPr>
        <w:pStyle w:val="Normal"/>
        <w:widowControl w:val="false"/>
        <w:spacing w:lineRule="auto" w:line="360"/>
        <w:ind w:firstLine="720"/>
        <w:jc w:val="both"/>
        <w:rPr>
          <w:rFonts w:eastAsia="Times New Roman"/>
          <w:lang w:eastAsia="en-US"/>
        </w:rPr>
      </w:pPr>
      <w:r>
        <w:rPr>
          <w:lang w:eastAsia="en-US"/>
        </w:rPr>
        <w:t>8. забележки</w:t>
      </w:r>
    </w:p>
    <w:p>
      <w:pPr>
        <w:pStyle w:val="Normal"/>
        <w:widowControl w:val="false"/>
        <w:spacing w:lineRule="auto" w:line="360" w:before="120" w:after="0"/>
        <w:ind w:firstLine="720"/>
        <w:jc w:val="both"/>
        <w:rPr>
          <w:rFonts w:eastAsia="Times New Roman"/>
          <w:lang w:eastAsia="en-US"/>
        </w:rPr>
      </w:pPr>
      <w:r>
        <w:rPr>
          <w:b/>
          <w:bCs/>
          <w:lang w:eastAsia="en-US"/>
        </w:rPr>
        <w:t xml:space="preserve">Чл. 59. </w:t>
      </w:r>
      <w:r>
        <w:rPr>
          <w:lang w:eastAsia="en-US"/>
        </w:rPr>
        <w:t>Производител се заличава в тридневен срок от регистъра по чл. 54, ал. 1, когато:</w:t>
      </w:r>
    </w:p>
    <w:p>
      <w:pPr>
        <w:pStyle w:val="Normal"/>
        <w:widowControl w:val="false"/>
        <w:spacing w:lineRule="auto" w:line="360"/>
        <w:ind w:firstLine="720"/>
        <w:jc w:val="both"/>
        <w:rPr>
          <w:rFonts w:eastAsia="Times New Roman"/>
          <w:lang w:eastAsia="en-US"/>
        </w:rPr>
      </w:pPr>
      <w:r>
        <w:rPr>
          <w:lang w:eastAsia="en-US"/>
        </w:rPr>
        <w:t>1. подаде писмено заявление до МЗХГ съгласно Приложение № 7;</w:t>
      </w:r>
    </w:p>
    <w:p>
      <w:pPr>
        <w:pStyle w:val="Normal"/>
        <w:widowControl w:val="false"/>
        <w:spacing w:lineRule="auto" w:line="360"/>
        <w:ind w:firstLine="720"/>
        <w:jc w:val="both"/>
        <w:rPr>
          <w:rFonts w:eastAsia="Times New Roman"/>
          <w:lang w:eastAsia="en-US"/>
        </w:rPr>
      </w:pPr>
      <w:r>
        <w:rPr>
          <w:lang w:eastAsia="en-US"/>
        </w:rPr>
        <w:t>2. контролиращото лице информира МЗХГ, че е прекратен договорът по чл. 46 с производителя и/или че производителят е изключен от системите за контрол.</w:t>
      </w:r>
    </w:p>
    <w:p>
      <w:pPr>
        <w:pStyle w:val="Normal"/>
        <w:widowControl w:val="false"/>
        <w:spacing w:lineRule="auto" w:line="360" w:before="120" w:after="0"/>
        <w:jc w:val="center"/>
        <w:rPr>
          <w:rFonts w:eastAsia="Times New Roman"/>
          <w:bCs/>
          <w:lang w:eastAsia="en-US"/>
        </w:rPr>
      </w:pPr>
      <w:r>
        <w:rPr>
          <w:bCs/>
          <w:lang w:eastAsia="en-US"/>
        </w:rPr>
        <w:t>Раздел II</w:t>
      </w:r>
    </w:p>
    <w:p>
      <w:pPr>
        <w:pStyle w:val="Normal"/>
        <w:widowControl w:val="false"/>
        <w:spacing w:lineRule="auto" w:line="360"/>
        <w:jc w:val="center"/>
        <w:rPr>
          <w:rFonts w:eastAsia="Times New Roman"/>
          <w:b/>
          <w:b/>
          <w:bCs/>
          <w:lang w:eastAsia="en-US"/>
        </w:rPr>
      </w:pPr>
      <w:r>
        <w:rPr>
          <w:b/>
          <w:bCs/>
          <w:lang w:eastAsia="en-US"/>
        </w:rPr>
        <w:t>Вписване на производителите на земеделски продукти и храни с традиционно специфичен характер</w:t>
      </w:r>
    </w:p>
    <w:p>
      <w:pPr>
        <w:pStyle w:val="Normal"/>
        <w:widowControl w:val="false"/>
        <w:spacing w:lineRule="auto" w:line="360" w:before="120" w:after="0"/>
        <w:ind w:firstLine="720"/>
        <w:jc w:val="both"/>
        <w:rPr>
          <w:rFonts w:eastAsia="Times New Roman"/>
          <w:lang w:eastAsia="en-US"/>
        </w:rPr>
      </w:pPr>
      <w:r>
        <w:rPr>
          <w:b/>
          <w:bCs/>
          <w:lang w:eastAsia="en-US"/>
        </w:rPr>
        <w:t>Чл. 60.</w:t>
      </w:r>
      <w:r>
        <w:rPr>
          <w:lang w:eastAsia="en-US"/>
        </w:rPr>
        <w:t xml:space="preserve"> (1) Производителите на земеделски продукт или храна с традиционно специфичен характер, които са членове на група производители, подала заявление за вписване, се вписват служебно в регистъра.</w:t>
      </w:r>
    </w:p>
    <w:p>
      <w:pPr>
        <w:pStyle w:val="Normal"/>
        <w:widowControl w:val="false"/>
        <w:spacing w:lineRule="auto" w:line="360"/>
        <w:ind w:firstLine="720"/>
        <w:jc w:val="both"/>
        <w:rPr>
          <w:rFonts w:eastAsia="Times New Roman"/>
          <w:lang w:eastAsia="en-US"/>
        </w:rPr>
      </w:pPr>
      <w:r>
        <w:rPr>
          <w:lang w:eastAsia="en-US"/>
        </w:rPr>
        <w:t>(2) Производител на земеделски продукт или храна с традиционно специфичен характер, който не членува в група производители по ал. 1, е длъжен да подаде писмено заявление за вписване до компетентното звено в МЗХГ.</w:t>
      </w:r>
    </w:p>
    <w:p>
      <w:pPr>
        <w:pStyle w:val="Normal"/>
        <w:widowControl w:val="false"/>
        <w:spacing w:lineRule="auto" w:line="360"/>
        <w:ind w:firstLine="720"/>
        <w:jc w:val="both"/>
        <w:rPr>
          <w:rFonts w:eastAsia="Times New Roman"/>
          <w:lang w:eastAsia="en-US"/>
        </w:rPr>
      </w:pPr>
      <w:r>
        <w:rPr>
          <w:lang w:eastAsia="en-US"/>
        </w:rPr>
        <w:t>(3) Производител, който се е присъединил към група производители по ал. 1 след регистрацията на земеделския продукт или храна в Европейския регистър на храните с традиционно специфичен характер, е длъжен да подаде писмено заявление за вписване до компетентното звено в МЗХГ.</w:t>
      </w:r>
    </w:p>
    <w:p>
      <w:pPr>
        <w:pStyle w:val="Normal"/>
        <w:widowControl w:val="false"/>
        <w:spacing w:lineRule="auto" w:line="360"/>
        <w:ind w:firstLine="720"/>
        <w:jc w:val="both"/>
        <w:rPr>
          <w:rFonts w:eastAsia="Times New Roman"/>
          <w:lang w:eastAsia="en-US"/>
        </w:rPr>
      </w:pPr>
      <w:r>
        <w:rPr>
          <w:lang w:eastAsia="en-US"/>
        </w:rPr>
        <w:t>(4) Заявленията по ал. 2 и 3 се подават съгласно Приложение № 6.</w:t>
      </w:r>
    </w:p>
    <w:p>
      <w:pPr>
        <w:pStyle w:val="Normal"/>
        <w:widowControl w:val="false"/>
        <w:spacing w:lineRule="auto" w:line="360"/>
        <w:ind w:firstLine="720"/>
        <w:jc w:val="both"/>
        <w:rPr>
          <w:rFonts w:eastAsia="Times New Roman"/>
          <w:lang w:eastAsia="en-US"/>
        </w:rPr>
      </w:pPr>
      <w:r>
        <w:rPr>
          <w:lang w:eastAsia="en-US"/>
        </w:rPr>
        <w:t>(5) Заявленията се придружават от копие на договора за контрол на съответствие и контролния лист от първоначалната проверка съгласно чл. 46, ал. 3 и документите по чл. 26, ал. 2, т. 2 – 4 и 6.</w:t>
      </w:r>
    </w:p>
    <w:p>
      <w:pPr>
        <w:pStyle w:val="Normal"/>
        <w:widowControl w:val="false"/>
        <w:spacing w:lineRule="auto" w:line="360"/>
        <w:ind w:firstLine="720"/>
        <w:jc w:val="both"/>
        <w:rPr>
          <w:rFonts w:eastAsia="Times New Roman"/>
          <w:lang w:eastAsia="en-US"/>
        </w:rPr>
      </w:pPr>
      <w:r>
        <w:rPr>
          <w:lang w:eastAsia="en-US"/>
        </w:rPr>
        <w:t>(6) Заявленията се разглеждат по реда на чл. 29.</w:t>
      </w:r>
    </w:p>
    <w:p>
      <w:pPr>
        <w:pStyle w:val="Normal"/>
        <w:widowControl w:val="false"/>
        <w:spacing w:lineRule="auto" w:line="360"/>
        <w:ind w:firstLine="720"/>
        <w:jc w:val="both"/>
        <w:rPr>
          <w:rFonts w:eastAsia="Times New Roman"/>
          <w:lang w:eastAsia="en-US"/>
        </w:rPr>
      </w:pPr>
      <w:r>
        <w:rPr>
          <w:lang w:eastAsia="en-US"/>
        </w:rPr>
        <w:t>(7) След приключване на проверката на място се изготвя доклад до комисията по чл. 2, която разглежда заявлението и доклада и предлага решение за вписване или мотивиран отказ.</w:t>
      </w:r>
    </w:p>
    <w:p>
      <w:pPr>
        <w:pStyle w:val="Normal"/>
        <w:widowControl w:val="false"/>
        <w:spacing w:lineRule="auto" w:line="360"/>
        <w:ind w:firstLine="720"/>
        <w:jc w:val="both"/>
        <w:rPr>
          <w:rFonts w:eastAsia="Times New Roman"/>
          <w:lang w:eastAsia="en-US"/>
        </w:rPr>
      </w:pPr>
      <w:r>
        <w:rPr>
          <w:lang w:eastAsia="en-US"/>
        </w:rPr>
        <w:t>(8) Вписването в регистъра се извършва въз основа на заповед на министъра на земеделието,храните и горите.</w:t>
      </w:r>
    </w:p>
    <w:p>
      <w:pPr>
        <w:pStyle w:val="Normal"/>
        <w:widowControl w:val="false"/>
        <w:spacing w:lineRule="auto" w:line="360" w:before="120" w:after="0"/>
        <w:ind w:firstLine="720"/>
        <w:jc w:val="both"/>
        <w:rPr>
          <w:rFonts w:eastAsia="Times New Roman"/>
          <w:lang w:eastAsia="en-US"/>
        </w:rPr>
      </w:pPr>
      <w:r>
        <w:rPr>
          <w:b/>
          <w:bCs/>
          <w:lang w:eastAsia="en-US"/>
        </w:rPr>
        <w:t>Чл. 61.</w:t>
      </w:r>
      <w:r>
        <w:rPr>
          <w:lang w:eastAsia="en-US"/>
        </w:rPr>
        <w:t xml:space="preserve"> В регистъра се вписват:</w:t>
      </w:r>
    </w:p>
    <w:p>
      <w:pPr>
        <w:pStyle w:val="Normal"/>
        <w:widowControl w:val="false"/>
        <w:spacing w:lineRule="auto" w:line="360"/>
        <w:ind w:firstLine="720"/>
        <w:jc w:val="both"/>
        <w:rPr>
          <w:rFonts w:eastAsia="Times New Roman"/>
          <w:lang w:eastAsia="en-US"/>
        </w:rPr>
      </w:pPr>
      <w:r>
        <w:rPr>
          <w:lang w:eastAsia="en-US"/>
        </w:rPr>
        <w:t>1. номер и дата на заповед на министъра на земеделието, храните и горите;</w:t>
      </w:r>
    </w:p>
    <w:p>
      <w:pPr>
        <w:pStyle w:val="Normal"/>
        <w:widowControl w:val="false"/>
        <w:spacing w:lineRule="auto" w:line="360"/>
        <w:ind w:firstLine="720"/>
        <w:jc w:val="both"/>
        <w:rPr>
          <w:rFonts w:eastAsia="Times New Roman"/>
          <w:lang w:eastAsia="en-US"/>
        </w:rPr>
      </w:pPr>
      <w:r>
        <w:rPr>
          <w:lang w:eastAsia="en-US"/>
        </w:rPr>
        <w:t>2. наименованието на производителя;</w:t>
      </w:r>
    </w:p>
    <w:p>
      <w:pPr>
        <w:pStyle w:val="Normal"/>
        <w:widowControl w:val="false"/>
        <w:spacing w:lineRule="auto" w:line="360"/>
        <w:ind w:firstLine="720"/>
        <w:jc w:val="both"/>
        <w:rPr>
          <w:rFonts w:eastAsia="Times New Roman"/>
          <w:lang w:eastAsia="en-US"/>
        </w:rPr>
      </w:pPr>
      <w:r>
        <w:rPr>
          <w:lang w:eastAsia="en-US"/>
        </w:rPr>
        <w:t>3. ЕИК, седалището и адресът на управление на заявителя;</w:t>
      </w:r>
    </w:p>
    <w:p>
      <w:pPr>
        <w:pStyle w:val="Normal"/>
        <w:widowControl w:val="false"/>
        <w:spacing w:lineRule="auto" w:line="360"/>
        <w:ind w:firstLine="720"/>
        <w:jc w:val="both"/>
        <w:rPr>
          <w:rFonts w:eastAsia="Times New Roman"/>
          <w:lang w:eastAsia="en-US"/>
        </w:rPr>
      </w:pPr>
      <w:r>
        <w:rPr>
          <w:lang w:eastAsia="en-US"/>
        </w:rPr>
        <w:t>4. мястото на производствена дейност;</w:t>
      </w:r>
    </w:p>
    <w:p>
      <w:pPr>
        <w:pStyle w:val="Normal"/>
        <w:widowControl w:val="false"/>
        <w:spacing w:lineRule="auto" w:line="360"/>
        <w:ind w:firstLine="720"/>
        <w:jc w:val="both"/>
        <w:rPr>
          <w:rFonts w:eastAsia="Times New Roman"/>
          <w:lang w:eastAsia="en-US"/>
        </w:rPr>
      </w:pPr>
      <w:r>
        <w:rPr>
          <w:lang w:eastAsia="en-US"/>
        </w:rPr>
        <w:t>5. контролиращото лице;</w:t>
      </w:r>
    </w:p>
    <w:p>
      <w:pPr>
        <w:pStyle w:val="Normal"/>
        <w:widowControl w:val="false"/>
        <w:spacing w:lineRule="auto" w:line="360"/>
        <w:ind w:firstLine="720"/>
        <w:jc w:val="both"/>
        <w:rPr>
          <w:rFonts w:eastAsia="Times New Roman"/>
          <w:lang w:eastAsia="en-US"/>
        </w:rPr>
      </w:pPr>
      <w:r>
        <w:rPr>
          <w:lang w:eastAsia="en-US"/>
        </w:rPr>
        <w:t>6. серия, номер и дата на Официалния вестник на Европейския съюз, в който е публикуван регламентът за вписване на храната с традиционно специфичен характер;</w:t>
      </w:r>
    </w:p>
    <w:p>
      <w:pPr>
        <w:pStyle w:val="Normal"/>
        <w:widowControl w:val="false"/>
        <w:spacing w:lineRule="auto" w:line="360"/>
        <w:ind w:firstLine="720"/>
        <w:jc w:val="both"/>
        <w:rPr>
          <w:rFonts w:eastAsia="Times New Roman"/>
          <w:lang w:eastAsia="en-US"/>
        </w:rPr>
      </w:pPr>
      <w:r>
        <w:rPr>
          <w:lang w:eastAsia="en-US"/>
        </w:rPr>
        <w:t>7. промените във вписаните обстоятелства.</w:t>
      </w:r>
    </w:p>
    <w:p>
      <w:pPr>
        <w:pStyle w:val="Normal"/>
        <w:widowControl w:val="false"/>
        <w:spacing w:lineRule="auto" w:line="360" w:before="120" w:after="0"/>
        <w:ind w:firstLine="720"/>
        <w:jc w:val="both"/>
        <w:rPr>
          <w:rFonts w:eastAsia="Times New Roman"/>
          <w:lang w:eastAsia="en-US"/>
        </w:rPr>
      </w:pPr>
      <w:r>
        <w:rPr>
          <w:b/>
          <w:bCs/>
          <w:lang w:eastAsia="en-US"/>
        </w:rPr>
        <w:t xml:space="preserve">Чл. 62. </w:t>
      </w:r>
      <w:r>
        <w:rPr>
          <w:lang w:eastAsia="en-US"/>
        </w:rPr>
        <w:t>Производител се заличава в тридневен срок от регистъра</w:t>
      </w:r>
      <w:r>
        <w:rPr>
          <w:rFonts w:eastAsia="Times New Roman"/>
          <w:lang w:eastAsia="en-US"/>
        </w:rPr>
        <w:t xml:space="preserve"> </w:t>
      </w:r>
      <w:r>
        <w:rPr>
          <w:lang w:eastAsia="en-US"/>
        </w:rPr>
        <w:t>по чл. 5</w:t>
      </w:r>
      <w:r>
        <w:rPr>
          <w:rFonts w:eastAsia="Times New Roman"/>
          <w:lang w:eastAsia="en-US"/>
        </w:rPr>
        <w:t>3</w:t>
      </w:r>
      <w:r>
        <w:rPr>
          <w:lang w:eastAsia="en-US"/>
        </w:rPr>
        <w:t>, ал. 1, когато:</w:t>
      </w:r>
    </w:p>
    <w:p>
      <w:pPr>
        <w:pStyle w:val="Normal"/>
        <w:widowControl w:val="false"/>
        <w:spacing w:lineRule="auto" w:line="360"/>
        <w:ind w:firstLine="720"/>
        <w:jc w:val="both"/>
        <w:rPr>
          <w:rFonts w:eastAsia="Times New Roman"/>
          <w:lang w:eastAsia="en-US"/>
        </w:rPr>
      </w:pPr>
      <w:r>
        <w:rPr>
          <w:lang w:eastAsia="en-US"/>
        </w:rPr>
        <w:t>1. подаде писмено заявление до МЗХГ съгласно Приложение № 7;</w:t>
      </w:r>
    </w:p>
    <w:p>
      <w:pPr>
        <w:pStyle w:val="Normal"/>
        <w:widowControl w:val="false"/>
        <w:spacing w:lineRule="auto" w:line="360"/>
        <w:ind w:firstLine="720"/>
        <w:jc w:val="both"/>
        <w:rPr>
          <w:rFonts w:eastAsia="Times New Roman"/>
          <w:lang w:eastAsia="en-US"/>
        </w:rPr>
      </w:pPr>
      <w:r>
        <w:rPr>
          <w:lang w:eastAsia="en-US"/>
        </w:rPr>
        <w:t>2. контролиращото лице информира МЗХГ, че е прекратен договорът по чл. 35 с производителя и/или че производителят е изключен от системите за контрол.</w:t>
      </w:r>
    </w:p>
    <w:p>
      <w:pPr>
        <w:pStyle w:val="Normal"/>
        <w:widowControl w:val="false"/>
        <w:spacing w:lineRule="auto" w:line="360" w:before="120" w:after="0"/>
        <w:jc w:val="center"/>
        <w:rPr>
          <w:rFonts w:eastAsia="Times New Roman"/>
          <w:bCs/>
          <w:lang w:eastAsia="en-US"/>
        </w:rPr>
      </w:pPr>
      <w:r>
        <w:rPr>
          <w:bCs/>
          <w:lang w:eastAsia="en-US"/>
        </w:rPr>
        <w:t>Раздел III</w:t>
      </w:r>
    </w:p>
    <w:p>
      <w:pPr>
        <w:pStyle w:val="Normal"/>
        <w:widowControl w:val="false"/>
        <w:spacing w:lineRule="auto" w:line="360"/>
        <w:jc w:val="center"/>
        <w:rPr>
          <w:rFonts w:eastAsia="Times New Roman"/>
          <w:b/>
          <w:b/>
          <w:bCs/>
          <w:lang w:eastAsia="en-US"/>
        </w:rPr>
      </w:pPr>
      <w:r>
        <w:rPr>
          <w:b/>
          <w:bCs/>
          <w:lang w:eastAsia="en-US"/>
        </w:rPr>
        <w:t>Вписване на</w:t>
      </w:r>
      <w:r>
        <w:rPr>
          <w:rFonts w:eastAsia="Times New Roman"/>
          <w:b/>
          <w:bCs/>
          <w:lang w:eastAsia="en-US"/>
        </w:rPr>
        <w:t xml:space="preserve"> </w:t>
      </w:r>
      <w:r>
        <w:rPr>
          <w:b/>
          <w:bCs/>
          <w:lang w:eastAsia="en-US"/>
        </w:rPr>
        <w:t>контролиращите лица</w:t>
      </w:r>
    </w:p>
    <w:p>
      <w:pPr>
        <w:pStyle w:val="Normal"/>
        <w:widowControl w:val="false"/>
        <w:spacing w:lineRule="auto" w:line="360" w:before="120" w:after="0"/>
        <w:ind w:firstLine="720"/>
        <w:jc w:val="both"/>
        <w:rPr>
          <w:rFonts w:eastAsia="Times New Roman"/>
          <w:lang w:eastAsia="en-US"/>
        </w:rPr>
      </w:pPr>
      <w:r>
        <w:rPr>
          <w:b/>
          <w:bCs/>
          <w:lang w:eastAsia="en-US"/>
        </w:rPr>
        <w:t>Чл. 63.</w:t>
      </w:r>
      <w:r>
        <w:rPr>
          <w:lang w:eastAsia="en-US"/>
        </w:rPr>
        <w:t xml:space="preserve"> В регистъра се вписват:</w:t>
      </w:r>
    </w:p>
    <w:p>
      <w:pPr>
        <w:pStyle w:val="Normal"/>
        <w:widowControl w:val="false"/>
        <w:spacing w:lineRule="auto" w:line="360"/>
        <w:ind w:firstLine="720"/>
        <w:jc w:val="both"/>
        <w:rPr>
          <w:rFonts w:eastAsia="Times New Roman"/>
          <w:lang w:eastAsia="en-US"/>
        </w:rPr>
      </w:pPr>
      <w:r>
        <w:rPr>
          <w:rFonts w:eastAsia="Times New Roman"/>
          <w:lang w:eastAsia="en-US"/>
        </w:rPr>
        <w:t>1</w:t>
      </w:r>
      <w:r>
        <w:rPr>
          <w:lang w:eastAsia="en-US"/>
        </w:rPr>
        <w:t>. наименование на контролиращото лице;</w:t>
      </w:r>
    </w:p>
    <w:p>
      <w:pPr>
        <w:pStyle w:val="Normal"/>
        <w:widowControl w:val="false"/>
        <w:spacing w:lineRule="auto" w:line="360"/>
        <w:ind w:firstLine="720"/>
        <w:jc w:val="both"/>
        <w:rPr>
          <w:rFonts w:eastAsia="Times New Roman"/>
          <w:lang w:eastAsia="en-US"/>
        </w:rPr>
      </w:pPr>
      <w:r>
        <w:rPr>
          <w:rFonts w:eastAsia="Times New Roman"/>
          <w:lang w:eastAsia="en-US"/>
        </w:rPr>
        <w:t>2</w:t>
      </w:r>
      <w:r>
        <w:rPr>
          <w:lang w:eastAsia="en-US"/>
        </w:rPr>
        <w:t xml:space="preserve">. ЕИК, седалището и адресът на управление </w:t>
      </w:r>
    </w:p>
    <w:p>
      <w:pPr>
        <w:pStyle w:val="Normal"/>
        <w:widowControl w:val="false"/>
        <w:spacing w:lineRule="auto" w:line="360"/>
        <w:ind w:firstLine="720"/>
        <w:jc w:val="both"/>
        <w:rPr>
          <w:rFonts w:eastAsia="Times New Roman"/>
          <w:lang w:eastAsia="en-US"/>
        </w:rPr>
      </w:pPr>
      <w:r>
        <w:rPr>
          <w:rFonts w:eastAsia="Times New Roman"/>
          <w:lang w:eastAsia="en-US"/>
        </w:rPr>
        <w:t>3</w:t>
      </w:r>
      <w:r>
        <w:rPr>
          <w:lang w:eastAsia="en-US"/>
        </w:rPr>
        <w:t>. номерът и датата на заповедта на министъра на земеделието, храните и горите, с която се разрешава осъществяването на контрол за съответствие на земеделските продукти и на храните с географски означения и с традиционно специфичен характер с тяхната спецификация;</w:t>
      </w:r>
    </w:p>
    <w:p>
      <w:pPr>
        <w:pStyle w:val="Normal"/>
        <w:widowControl w:val="false"/>
        <w:spacing w:lineRule="auto" w:line="360"/>
        <w:ind w:firstLine="720"/>
        <w:jc w:val="both"/>
        <w:rPr>
          <w:rFonts w:eastAsia="Times New Roman"/>
          <w:lang w:eastAsia="en-US"/>
        </w:rPr>
      </w:pPr>
      <w:r>
        <w:rPr>
          <w:rFonts w:eastAsia="Times New Roman"/>
          <w:lang w:eastAsia="en-US"/>
        </w:rPr>
        <w:t>4</w:t>
      </w:r>
      <w:r>
        <w:rPr>
          <w:lang w:eastAsia="en-US"/>
        </w:rPr>
        <w:t>. производителите, с които има сключен договор за контрол</w:t>
      </w:r>
      <w:r>
        <w:rPr>
          <w:rFonts w:eastAsia="Times New Roman"/>
          <w:lang w:eastAsia="en-US"/>
        </w:rPr>
        <w:t>;</w:t>
      </w:r>
    </w:p>
    <w:p>
      <w:pPr>
        <w:pStyle w:val="Normal"/>
        <w:widowControl w:val="false"/>
        <w:spacing w:lineRule="auto" w:line="360"/>
        <w:ind w:firstLine="720"/>
        <w:jc w:val="both"/>
        <w:rPr>
          <w:rFonts w:eastAsia="Times New Roman"/>
          <w:lang w:eastAsia="en-US"/>
        </w:rPr>
      </w:pPr>
      <w:r>
        <w:rPr>
          <w:rFonts w:eastAsia="Times New Roman"/>
          <w:lang w:eastAsia="en-US"/>
        </w:rPr>
        <w:t>5</w:t>
      </w:r>
      <w:r>
        <w:rPr>
          <w:lang w:eastAsia="en-US"/>
        </w:rPr>
        <w:t>. промени във вписаните обстоятелства</w:t>
      </w:r>
    </w:p>
    <w:p>
      <w:pPr>
        <w:pStyle w:val="Normal"/>
        <w:widowControl w:val="false"/>
        <w:spacing w:lineRule="auto" w:line="360"/>
        <w:ind w:firstLine="720"/>
        <w:jc w:val="both"/>
        <w:rPr>
          <w:rFonts w:eastAsia="Times New Roman"/>
          <w:lang w:eastAsia="en-US"/>
        </w:rPr>
      </w:pPr>
      <w:r>
        <w:rPr>
          <w:lang w:eastAsia="en-US"/>
        </w:rPr>
        <w:t>6. забележки</w:t>
      </w:r>
    </w:p>
    <w:p>
      <w:pPr>
        <w:pStyle w:val="Normal"/>
        <w:widowControl w:val="false"/>
        <w:spacing w:lineRule="auto" w:line="360" w:before="120" w:after="0"/>
        <w:ind w:firstLine="720"/>
        <w:jc w:val="both"/>
        <w:rPr>
          <w:rFonts w:eastAsia="Times New Roman"/>
          <w:lang w:eastAsia="en-US"/>
        </w:rPr>
      </w:pPr>
      <w:r>
        <w:rPr>
          <w:b/>
          <w:bCs/>
          <w:lang w:eastAsia="en-US"/>
        </w:rPr>
        <w:t xml:space="preserve">Чл. 64. </w:t>
      </w:r>
      <w:r>
        <w:rPr>
          <w:rFonts w:eastAsia="Times New Roman"/>
          <w:bCs/>
          <w:lang w:eastAsia="en-US"/>
        </w:rPr>
        <w:t>(1)</w:t>
      </w:r>
      <w:r>
        <w:rPr>
          <w:rFonts w:eastAsia="Times New Roman"/>
          <w:b/>
          <w:bCs/>
          <w:lang w:eastAsia="en-US"/>
        </w:rPr>
        <w:t xml:space="preserve"> </w:t>
      </w:r>
      <w:r>
        <w:rPr>
          <w:lang w:eastAsia="en-US"/>
        </w:rPr>
        <w:t>Контролиращо лице се заличава от регистъра:</w:t>
      </w:r>
    </w:p>
    <w:p>
      <w:pPr>
        <w:pStyle w:val="Normal"/>
        <w:widowControl w:val="false"/>
        <w:spacing w:lineRule="auto" w:line="360" w:before="120" w:after="0"/>
        <w:ind w:firstLine="720"/>
        <w:jc w:val="both"/>
        <w:rPr>
          <w:color w:val="000000"/>
        </w:rPr>
      </w:pPr>
      <w:r>
        <w:rPr>
          <w:color w:val="000000"/>
        </w:rPr>
        <w:t>1. при изтичане срока на разрешението;</w:t>
      </w:r>
    </w:p>
    <w:p>
      <w:pPr>
        <w:pStyle w:val="Normal"/>
        <w:widowControl w:val="false"/>
        <w:spacing w:lineRule="auto" w:line="360" w:before="120" w:after="0"/>
        <w:ind w:firstLine="720"/>
        <w:jc w:val="both"/>
        <w:rPr>
          <w:rFonts w:eastAsia="Times New Roman"/>
          <w:lang w:eastAsia="en-US"/>
        </w:rPr>
      </w:pPr>
      <w:r>
        <w:rPr>
          <w:color w:val="000000"/>
        </w:rPr>
        <w:t>2. при отнемане на разрешението;</w:t>
      </w:r>
    </w:p>
    <w:p>
      <w:pPr>
        <w:pStyle w:val="Normal"/>
        <w:widowControl w:val="false"/>
        <w:spacing w:lineRule="auto" w:line="360" w:before="120" w:after="0"/>
        <w:ind w:firstLine="720"/>
        <w:jc w:val="both"/>
        <w:rPr>
          <w:rFonts w:eastAsia="Times New Roman"/>
          <w:lang w:eastAsia="en-US"/>
        </w:rPr>
      </w:pPr>
      <w:r>
        <w:rPr>
          <w:color w:val="000000"/>
        </w:rPr>
        <w:t>3. при прекратява на разрешението по искане на контролиращото лице.</w:t>
      </w:r>
    </w:p>
    <w:p>
      <w:pPr>
        <w:pStyle w:val="Normal"/>
        <w:widowControl w:val="false"/>
        <w:spacing w:lineRule="auto" w:line="360" w:before="120" w:after="0"/>
        <w:ind w:firstLine="720"/>
        <w:jc w:val="both"/>
        <w:rPr>
          <w:rFonts w:eastAsia="Times New Roman"/>
          <w:lang w:eastAsia="en-US"/>
        </w:rPr>
      </w:pPr>
      <w:r>
        <w:rPr>
          <w:lang w:eastAsia="en-US"/>
        </w:rPr>
        <w:t>(2) Информацията за заличеното контролиращо лице се прехвърля в архивен модул.</w:t>
      </w:r>
    </w:p>
    <w:p>
      <w:pPr>
        <w:pStyle w:val="Normal"/>
        <w:widowControl w:val="false"/>
        <w:spacing w:lineRule="auto" w:line="360" w:before="240" w:after="240"/>
        <w:jc w:val="center"/>
        <w:rPr>
          <w:b/>
          <w:b/>
          <w:bCs/>
          <w:lang w:eastAsia="en-US"/>
        </w:rPr>
      </w:pPr>
      <w:r>
        <w:rPr>
          <w:b/>
          <w:bCs/>
          <w:lang w:eastAsia="en-US"/>
        </w:rPr>
        <w:t>ДОПЪЛНИТЕЛНИ РАЗПОРЕДБИ</w:t>
      </w:r>
    </w:p>
    <w:p>
      <w:pPr>
        <w:pStyle w:val="Normal"/>
        <w:widowControl w:val="false"/>
        <w:spacing w:lineRule="auto" w:line="360" w:before="120" w:after="0"/>
        <w:ind w:firstLine="720"/>
        <w:jc w:val="both"/>
        <w:rPr>
          <w:rFonts w:eastAsia="Times New Roman"/>
          <w:lang w:eastAsia="en-US"/>
        </w:rPr>
      </w:pPr>
      <w:r>
        <w:rPr>
          <w:rFonts w:eastAsia="Times New Roman"/>
          <w:bCs/>
          <w:lang w:eastAsia="en-US"/>
        </w:rPr>
        <w:t>§</w:t>
      </w:r>
      <w:r>
        <w:rPr>
          <w:rFonts w:eastAsia="Times New Roman"/>
          <w:b/>
          <w:bCs/>
          <w:lang w:eastAsia="en-US"/>
        </w:rPr>
        <w:t xml:space="preserve"> 1.</w:t>
      </w:r>
      <w:r>
        <w:rPr>
          <w:lang w:eastAsia="en-US"/>
        </w:rPr>
        <w:t xml:space="preserve"> По смисъла на тази наредба:</w:t>
      </w:r>
    </w:p>
    <w:p>
      <w:pPr>
        <w:pStyle w:val="Normal"/>
        <w:widowControl w:val="false"/>
        <w:spacing w:lineRule="auto" w:line="360"/>
        <w:ind w:firstLine="720"/>
        <w:jc w:val="both"/>
        <w:rPr>
          <w:rFonts w:eastAsia="Times New Roman"/>
          <w:lang w:eastAsia="en-US"/>
        </w:rPr>
      </w:pPr>
      <w:r>
        <w:rPr>
          <w:lang w:eastAsia="en-US"/>
        </w:rPr>
        <w:t>1. „Земеделски продукти и храни със защитени географски означения“ са земеделски продукти и храни с наименование за произход или с географско указание по смисъла на чл. 2, параграф 1 и чл. 5 от Регламент № 1151/2012.</w:t>
      </w:r>
    </w:p>
    <w:p>
      <w:pPr>
        <w:pStyle w:val="Normal"/>
        <w:widowControl w:val="false"/>
        <w:spacing w:lineRule="auto" w:line="360"/>
        <w:ind w:firstLine="720"/>
        <w:jc w:val="both"/>
        <w:rPr>
          <w:rFonts w:eastAsia="Times New Roman"/>
          <w:lang w:eastAsia="en-US"/>
        </w:rPr>
      </w:pPr>
      <w:r>
        <w:rPr>
          <w:lang w:eastAsia="en-US"/>
        </w:rPr>
        <w:t>2. „Земеделски продукти и храни с традиционно специфичен характер“ са земеделските продукти и храни, които отговарят на условията на чл. 2, ал. 1 и чл. 18 от Регламент № 1151/2012.</w:t>
      </w:r>
    </w:p>
    <w:p>
      <w:pPr>
        <w:pStyle w:val="Normal"/>
        <w:widowControl w:val="false"/>
        <w:spacing w:lineRule="auto" w:line="360"/>
        <w:ind w:firstLine="720"/>
        <w:jc w:val="both"/>
        <w:rPr>
          <w:rFonts w:eastAsia="Times New Roman"/>
          <w:lang w:eastAsia="en-US"/>
        </w:rPr>
      </w:pPr>
      <w:r>
        <w:rPr>
          <w:lang w:eastAsia="en-US"/>
        </w:rPr>
        <w:t>3. “Споразумение” е договор между заявителя, от една страна, и възразилите лица, от друга страна, за постигане на съгласие по представените възражения.</w:t>
      </w:r>
    </w:p>
    <w:p>
      <w:pPr>
        <w:pStyle w:val="Normal"/>
        <w:widowControl w:val="false"/>
        <w:spacing w:lineRule="auto" w:line="360" w:before="120" w:after="0"/>
        <w:ind w:firstLine="720"/>
        <w:jc w:val="both"/>
        <w:rPr>
          <w:rFonts w:eastAsia="Times New Roman"/>
          <w:lang w:eastAsia="en-US"/>
        </w:rPr>
      </w:pPr>
      <w:r>
        <w:rPr>
          <w:rFonts w:eastAsia="Times New Roman"/>
          <w:b/>
          <w:bCs/>
          <w:lang w:eastAsia="en-US"/>
        </w:rPr>
        <w:t>§ 2.</w:t>
      </w:r>
      <w:r>
        <w:rPr>
          <w:lang w:eastAsia="en-US"/>
        </w:rPr>
        <w:t xml:space="preserve"> Като доказателства по чл. 7, ал. 2, т. 6  и чл. 26, ал. 2, т. 5 могат да бъдат представени анализи, изследвания, публикации, исторически документи, легенди, произведения на художествената и научната литература, справочници, търговски и счетоводни документи, регистри и други подобни източници.</w:t>
      </w:r>
    </w:p>
    <w:p>
      <w:pPr>
        <w:pStyle w:val="Normal"/>
        <w:widowControl w:val="false"/>
        <w:spacing w:lineRule="auto" w:line="360" w:before="120" w:after="0"/>
        <w:ind w:firstLine="720"/>
        <w:jc w:val="both"/>
        <w:rPr>
          <w:rFonts w:eastAsia="Times New Roman"/>
          <w:lang w:eastAsia="en-US"/>
        </w:rPr>
      </w:pPr>
      <w:r>
        <w:rPr>
          <w:rFonts w:eastAsia="Times New Roman"/>
          <w:b/>
          <w:bCs/>
          <w:lang w:eastAsia="en-US"/>
        </w:rPr>
        <w:t>§ 3.</w:t>
      </w:r>
      <w:r>
        <w:rPr>
          <w:lang w:eastAsia="en-US"/>
        </w:rPr>
        <w:t xml:space="preserve"> Декларацията по чл. 8, параграф. 2, буква (в) от Регламент № 1151/2012 и по чл. 20, пар. 2, буква (б) от Регламент № 1151/2012 се подписва от министъра на земеделието, храните и горите или ресорния заместник-министър на земеделието, храните и горите.</w:t>
      </w:r>
    </w:p>
    <w:p>
      <w:pPr>
        <w:pStyle w:val="Normal"/>
        <w:widowControl w:val="false"/>
        <w:spacing w:lineRule="auto" w:line="360" w:before="120" w:after="0"/>
        <w:ind w:firstLine="720"/>
        <w:jc w:val="both"/>
        <w:rPr>
          <w:rFonts w:eastAsia="Times New Roman"/>
          <w:lang w:eastAsia="en-US"/>
        </w:rPr>
      </w:pPr>
      <w:r>
        <w:rPr>
          <w:rFonts w:eastAsia="Times New Roman"/>
          <w:b/>
          <w:bCs/>
          <w:lang w:eastAsia="en-US"/>
        </w:rPr>
        <w:t xml:space="preserve">§ 4. </w:t>
      </w:r>
      <w:r>
        <w:rPr>
          <w:lang w:eastAsia="en-US"/>
        </w:rPr>
        <w:t xml:space="preserve">Тази наредба осигурява прилагането на: </w:t>
      </w:r>
    </w:p>
    <w:p>
      <w:pPr>
        <w:pStyle w:val="Normal"/>
        <w:widowControl w:val="false"/>
        <w:spacing w:lineRule="auto" w:line="360"/>
        <w:ind w:firstLine="720"/>
        <w:jc w:val="both"/>
        <w:rPr>
          <w:rFonts w:eastAsia="Times New Roman"/>
          <w:lang w:eastAsia="en-US"/>
        </w:rPr>
      </w:pPr>
      <w:r>
        <w:rPr>
          <w:lang w:eastAsia="en-US"/>
        </w:rPr>
        <w:t>1. Регламент (ЕС) № 1151/2012 на Европейския парламент и на Съвета от 21 ноември 2012 г. Относно схемите за качество на селскостопанските продукти и храни;</w:t>
      </w:r>
    </w:p>
    <w:p>
      <w:pPr>
        <w:pStyle w:val="Normal"/>
        <w:widowControl w:val="false"/>
        <w:spacing w:lineRule="auto" w:line="360"/>
        <w:ind w:firstLine="720"/>
        <w:jc w:val="both"/>
        <w:rPr>
          <w:rFonts w:eastAsia="Times New Roman"/>
          <w:lang w:eastAsia="en-US"/>
        </w:rPr>
      </w:pPr>
      <w:r>
        <w:rPr>
          <w:lang w:eastAsia="en-US"/>
        </w:rPr>
        <w:t>2. Регламент за изпълнение (ЕС) № 668/2014 на Комисията от 13 юни 2014 г. За определяне на правила за прилагането на Регламент (ЕС) № 1152/2012 на Европейския парламент и на Съвета относно схемите за качество на селскостопанските продукти и храни;</w:t>
      </w:r>
    </w:p>
    <w:p>
      <w:pPr>
        <w:pStyle w:val="Normal"/>
        <w:widowControl w:val="false"/>
        <w:spacing w:lineRule="auto" w:line="360"/>
        <w:ind w:firstLine="720"/>
        <w:jc w:val="both"/>
        <w:rPr>
          <w:lang w:eastAsia="en-US"/>
        </w:rPr>
      </w:pPr>
      <w:r>
        <w:rPr>
          <w:lang w:eastAsia="en-US"/>
        </w:rPr>
        <w:t>3. Делегиран регламент (ЕС) № 664/2014 на Комисията от 18 декември 2013 г. За допълване на Регламент (ЕС) № 1151/2012 на Европейския парламент и на Съвета по отношение на определянето на символите на Съюза за защитени наименования за произход, защитени географски указания и храни с традиционно специфичен характер, както и по отношение на определени правила за снабдяване, някои процедурни правила и някои допълнителни преходни разпоредби.</w:t>
      </w:r>
    </w:p>
    <w:p>
      <w:pPr>
        <w:pStyle w:val="Normal"/>
        <w:widowControl w:val="false"/>
        <w:spacing w:lineRule="auto" w:line="360" w:before="240" w:after="0"/>
        <w:jc w:val="center"/>
        <w:rPr>
          <w:b/>
          <w:b/>
          <w:bCs/>
          <w:lang w:eastAsia="en-US"/>
        </w:rPr>
      </w:pPr>
      <w:r>
        <w:rPr>
          <w:b/>
          <w:bCs/>
          <w:lang w:eastAsia="en-US"/>
        </w:rPr>
        <w:t>ЗАКЛЮЧИТЕЛНИ РАЗПОРЕДБИ</w:t>
      </w:r>
    </w:p>
    <w:p>
      <w:pPr>
        <w:pStyle w:val="Normal"/>
        <w:widowControl w:val="false"/>
        <w:spacing w:lineRule="auto" w:line="360" w:before="120" w:after="0"/>
        <w:ind w:firstLine="720"/>
        <w:jc w:val="both"/>
        <w:rPr>
          <w:rFonts w:eastAsia="Times New Roman"/>
          <w:lang w:eastAsia="en-US"/>
        </w:rPr>
      </w:pPr>
      <w:r>
        <w:rPr>
          <w:rFonts w:eastAsia="Times New Roman"/>
          <w:b/>
          <w:bCs/>
          <w:lang w:eastAsia="en-US"/>
        </w:rPr>
        <w:t>§ 5.</w:t>
      </w:r>
      <w:r>
        <w:rPr>
          <w:lang w:eastAsia="en-US"/>
        </w:rPr>
        <w:t xml:space="preserve"> Наредбата се издава на основание чл. 17, ал. 2 от Закона за прилагане на общите организации на пазарите на земеделски продукти на Европейския съюз</w:t>
      </w:r>
      <w:r>
        <w:rPr>
          <w:rFonts w:eastAsia="Times New Roman"/>
          <w:lang w:eastAsia="en-US"/>
        </w:rPr>
        <w:t xml:space="preserve"> </w:t>
      </w:r>
      <w:r>
        <w:rPr>
          <w:lang w:eastAsia="en-US"/>
        </w:rPr>
        <w:t>и чл. 7а от Закона за нормативните актове.</w:t>
      </w:r>
    </w:p>
    <w:p>
      <w:pPr>
        <w:pStyle w:val="Normal"/>
        <w:widowControl w:val="false"/>
        <w:spacing w:lineRule="auto" w:line="360" w:before="120" w:after="0"/>
        <w:ind w:firstLine="720"/>
        <w:jc w:val="both"/>
        <w:rPr>
          <w:rFonts w:eastAsia="Times New Roman"/>
          <w:lang w:eastAsia="en-US"/>
        </w:rPr>
      </w:pPr>
      <w:r>
        <w:rPr>
          <w:rFonts w:eastAsia="Times New Roman"/>
          <w:b/>
          <w:bCs/>
          <w:lang w:eastAsia="en-US"/>
        </w:rPr>
        <w:t>§ 6.</w:t>
      </w:r>
      <w:r>
        <w:rPr>
          <w:rFonts w:eastAsia="Times New Roman"/>
          <w:lang w:eastAsia="en-US"/>
        </w:rPr>
        <w:t xml:space="preserve">  </w:t>
      </w:r>
      <w:r>
        <w:rPr>
          <w:lang w:eastAsia="en-US"/>
        </w:rPr>
        <w:t>Отменя се Наредба № 16 от 2007 г. за подготовка и представяне на искания до Европейската комисия относно земеделските продукти и храни със защитени географски означения и традиционно специфичен характер, за контрол за съответствие с продуктовата спецификация и поддържане на база данни на производителите и контролиращите лица (обн., ДВ, бр. 79 от 2007 г</w:t>
      </w:r>
      <w:r>
        <w:rPr>
          <w:rFonts w:eastAsia="Times New Roman"/>
          <w:lang w:eastAsia="en-US"/>
        </w:rPr>
        <w:t xml:space="preserve">.) </w:t>
      </w:r>
    </w:p>
    <w:p>
      <w:pPr>
        <w:pStyle w:val="Normal"/>
        <w:spacing w:lineRule="auto" w:line="360" w:before="120" w:after="0"/>
        <w:ind w:firstLine="720"/>
        <w:jc w:val="both"/>
        <w:rPr/>
      </w:pPr>
      <w:r>
        <w:rPr>
          <w:rFonts w:eastAsia="Times New Roman"/>
          <w:b/>
          <w:color w:val="000000"/>
          <w:lang w:eastAsia="bg-BG"/>
        </w:rPr>
        <w:t>§ 7.</w:t>
      </w:r>
      <w:r>
        <w:rPr>
          <w:color w:val="000000"/>
          <w:lang w:eastAsia="bg-BG"/>
        </w:rPr>
        <w:t xml:space="preserve"> В Наредба № 6 от 2011 г. за специфичните изисквания при осъществяване на официалния контрол върху употребата на защитени географски означения и храни с традиционно специфичен характер (обн., ДВ, бр. 39 от 2011 г., изм., </w:t>
      </w:r>
      <w:hyperlink r:id="rId4">
        <w:r>
          <w:rPr>
            <w:rStyle w:val="InternetLink"/>
            <w:lang w:eastAsia="bg-BG"/>
          </w:rPr>
          <w:t>бр. 69</w:t>
        </w:r>
      </w:hyperlink>
      <w:r>
        <w:rPr>
          <w:color w:val="000000"/>
          <w:lang w:eastAsia="bg-BG"/>
        </w:rPr>
        <w:t xml:space="preserve"> от 2014 г. и бр. 29 от 2017 г.) се правят следните изменения:</w:t>
      </w:r>
    </w:p>
    <w:p>
      <w:pPr>
        <w:pStyle w:val="Normal"/>
        <w:spacing w:lineRule="auto" w:line="360"/>
        <w:ind w:firstLine="720"/>
        <w:jc w:val="both"/>
        <w:rPr>
          <w:rFonts w:eastAsia="Times New Roman"/>
          <w:color w:val="000000"/>
          <w:lang w:eastAsia="bg-BG"/>
        </w:rPr>
      </w:pPr>
      <w:r>
        <w:rPr>
          <w:color w:val="000000"/>
          <w:lang w:eastAsia="bg-BG"/>
        </w:rPr>
        <w:t>1. В чл. 2, ал. 2, т. 2 думите „базата данни“ се заменят с „регистъра</w:t>
      </w:r>
      <w:r>
        <w:rPr>
          <w:rFonts w:eastAsia="Times New Roman"/>
          <w:color w:val="000000"/>
          <w:lang w:eastAsia="bg-BG"/>
        </w:rPr>
        <w:t>“;</w:t>
      </w:r>
    </w:p>
    <w:p>
      <w:pPr>
        <w:pStyle w:val="Normal"/>
        <w:spacing w:lineRule="auto" w:line="360"/>
        <w:ind w:firstLine="720"/>
        <w:jc w:val="both"/>
        <w:rPr>
          <w:rFonts w:eastAsia="Times New Roman"/>
          <w:color w:val="000000"/>
          <w:lang w:eastAsia="bg-BG"/>
        </w:rPr>
      </w:pPr>
      <w:r>
        <w:rPr>
          <w:color w:val="000000"/>
          <w:lang w:eastAsia="bg-BG"/>
        </w:rPr>
        <w:t>2. В чл. 2а</w:t>
      </w:r>
      <w:r>
        <w:rPr>
          <w:rFonts w:eastAsia="Times New Roman"/>
          <w:color w:val="000000"/>
          <w:lang w:eastAsia="bg-BG"/>
        </w:rPr>
        <w:t>:</w:t>
      </w:r>
    </w:p>
    <w:p>
      <w:pPr>
        <w:pStyle w:val="Normal"/>
        <w:spacing w:lineRule="auto" w:line="360"/>
        <w:ind w:firstLine="720"/>
        <w:jc w:val="both"/>
        <w:rPr>
          <w:rFonts w:eastAsia="Times New Roman"/>
          <w:color w:val="000000"/>
          <w:lang w:eastAsia="bg-BG"/>
        </w:rPr>
      </w:pPr>
      <w:r>
        <w:rPr>
          <w:color w:val="000000"/>
          <w:lang w:eastAsia="bg-BG"/>
        </w:rPr>
        <w:t>а) в  ал. 1 думите „базата данни“ се заменят с „регистъра“</w:t>
      </w:r>
      <w:r>
        <w:rPr>
          <w:rFonts w:eastAsia="Times New Roman"/>
          <w:color w:val="000000"/>
          <w:lang w:eastAsia="bg-BG"/>
        </w:rPr>
        <w:t xml:space="preserve">, </w:t>
      </w:r>
      <w:r>
        <w:rPr>
          <w:color w:val="000000"/>
          <w:lang w:eastAsia="bg-BG"/>
        </w:rPr>
        <w:t>а „Министерството на земеделието и храните“ се заменят с „Министерството на земеделието, храните и горите;</w:t>
      </w:r>
    </w:p>
    <w:p>
      <w:pPr>
        <w:pStyle w:val="Normal"/>
        <w:spacing w:lineRule="auto" w:line="360"/>
        <w:ind w:firstLine="720"/>
        <w:jc w:val="both"/>
        <w:rPr>
          <w:rFonts w:eastAsia="Times New Roman"/>
          <w:color w:val="000000"/>
          <w:lang w:eastAsia="bg-BG"/>
        </w:rPr>
      </w:pPr>
      <w:r>
        <w:rPr>
          <w:color w:val="000000"/>
          <w:lang w:eastAsia="bg-BG"/>
        </w:rPr>
        <w:t>б) в  ал. 2, т. 1</w:t>
      </w:r>
      <w:r>
        <w:rPr/>
        <w:t xml:space="preserve"> </w:t>
      </w:r>
      <w:r>
        <w:rPr>
          <w:color w:val="000000"/>
          <w:lang w:eastAsia="bg-BG"/>
        </w:rPr>
        <w:t>думите „базата данни“ се заменят с „регистъра“;</w:t>
      </w:r>
    </w:p>
    <w:p>
      <w:pPr>
        <w:pStyle w:val="Normal"/>
        <w:spacing w:lineRule="auto" w:line="360"/>
        <w:ind w:firstLine="720"/>
        <w:jc w:val="both"/>
        <w:rPr>
          <w:rFonts w:eastAsia="Times New Roman"/>
          <w:color w:val="000000"/>
          <w:lang w:eastAsia="bg-BG"/>
        </w:rPr>
      </w:pPr>
      <w:r>
        <w:rPr>
          <w:color w:val="000000"/>
          <w:lang w:eastAsia="bg-BG"/>
        </w:rPr>
        <w:t>4. В чл. 3, ал. 3 думите „министъра на земеделието и храните“ се заменят с „министъра на земеделието, храните и горите“;</w:t>
      </w:r>
    </w:p>
    <w:p>
      <w:pPr>
        <w:pStyle w:val="Normal"/>
        <w:spacing w:lineRule="auto" w:line="360"/>
        <w:ind w:firstLine="720"/>
        <w:jc w:val="both"/>
        <w:rPr>
          <w:rFonts w:eastAsia="Times New Roman"/>
          <w:color w:val="000000"/>
          <w:lang w:eastAsia="bg-BG"/>
        </w:rPr>
      </w:pPr>
      <w:r>
        <w:rPr>
          <w:color w:val="000000"/>
          <w:lang w:eastAsia="bg-BG"/>
        </w:rPr>
        <w:t>5. В чл. 4</w:t>
      </w:r>
      <w:r>
        <w:rPr>
          <w:rFonts w:eastAsia="Times New Roman"/>
          <w:color w:val="000000"/>
          <w:lang w:eastAsia="bg-BG"/>
        </w:rPr>
        <w:t>:</w:t>
      </w:r>
    </w:p>
    <w:p>
      <w:pPr>
        <w:pStyle w:val="Normal"/>
        <w:spacing w:lineRule="auto" w:line="360"/>
        <w:ind w:firstLine="720"/>
        <w:jc w:val="both"/>
        <w:rPr>
          <w:rFonts w:eastAsia="Times New Roman"/>
          <w:color w:val="000000"/>
          <w:lang w:eastAsia="bg-BG"/>
        </w:rPr>
      </w:pPr>
      <w:r>
        <w:rPr>
          <w:color w:val="000000"/>
          <w:lang w:eastAsia="bg-BG"/>
        </w:rPr>
        <w:t>а) в ал. 4</w:t>
      </w:r>
      <w:r>
        <w:rPr>
          <w:rFonts w:eastAsia="Times New Roman"/>
          <w:color w:val="000000"/>
          <w:lang w:eastAsia="bg-BG"/>
        </w:rPr>
        <w:t>:</w:t>
      </w:r>
    </w:p>
    <w:p>
      <w:pPr>
        <w:pStyle w:val="Normal"/>
        <w:spacing w:lineRule="auto" w:line="360"/>
        <w:ind w:firstLine="720"/>
        <w:jc w:val="both"/>
        <w:rPr>
          <w:rFonts w:eastAsia="Times New Roman"/>
          <w:color w:val="000000"/>
          <w:lang w:eastAsia="bg-BG"/>
        </w:rPr>
      </w:pPr>
      <w:r>
        <w:rPr>
          <w:color w:val="000000"/>
          <w:lang w:eastAsia="bg-BG"/>
        </w:rPr>
        <w:t>аа) в т. 3, 4 думите „базата данни” се заменят с „регистъра”;</w:t>
      </w:r>
    </w:p>
    <w:p>
      <w:pPr>
        <w:pStyle w:val="Normal"/>
        <w:spacing w:lineRule="auto" w:line="360"/>
        <w:jc w:val="both"/>
        <w:rPr>
          <w:highlight w:val="white"/>
        </w:rPr>
      </w:pPr>
      <w:r>
        <w:rPr>
          <w:color w:val="000000"/>
          <w:lang w:eastAsia="bg-BG"/>
        </w:rPr>
        <w:t xml:space="preserve">            </w:t>
      </w:r>
      <w:r>
        <w:rPr>
          <w:color w:val="000000"/>
          <w:lang w:eastAsia="bg-BG"/>
        </w:rPr>
        <w:t>бб) в т. 6 думите „базата данни” се заменят с „регистъра”, а</w:t>
      </w:r>
      <w:r>
        <w:rPr>
          <w:rStyle w:val="InternetLink"/>
        </w:rPr>
        <w:t xml:space="preserve"> „</w:t>
      </w:r>
      <w:r>
        <w:rPr>
          <w:shd w:fill="FEFEFE" w:val="clear"/>
        </w:rPr>
        <w:t>чл. 22г, ал. 3 от Наредба № 16 от 2007 г. за подготовка и представяне на искания до Европейската комисия относно земеделските продукти и храни със защитени географски означения и традиционно специфичен характер, за контрол за съответствие с продуктовата спецификация и поддържане на база данни на производителите и контролиращите лица (ДВ, бр. 79 от 2007 г.) (Наредба № 16)” се заменят с „наредбата по чл. 17, ал. 2 от ЗПООПЗПЕС”.</w:t>
      </w:r>
    </w:p>
    <w:p>
      <w:pPr>
        <w:pStyle w:val="Normal"/>
        <w:spacing w:lineRule="auto" w:line="360"/>
        <w:ind w:firstLine="720"/>
        <w:jc w:val="both"/>
        <w:rPr>
          <w:rFonts w:eastAsia="Times New Roman"/>
          <w:color w:val="000000"/>
          <w:lang w:eastAsia="bg-BG"/>
        </w:rPr>
      </w:pPr>
      <w:r>
        <w:rPr>
          <w:color w:val="000000"/>
          <w:lang w:eastAsia="bg-BG"/>
        </w:rPr>
        <w:t>б) в ал. 5</w:t>
      </w:r>
      <w:r>
        <w:rPr>
          <w:rFonts w:eastAsia="Times New Roman"/>
          <w:color w:val="000000"/>
          <w:lang w:eastAsia="bg-BG"/>
        </w:rPr>
        <w:t>:</w:t>
      </w:r>
    </w:p>
    <w:p>
      <w:pPr>
        <w:pStyle w:val="Normal"/>
        <w:spacing w:lineRule="auto" w:line="360"/>
        <w:ind w:firstLine="720"/>
        <w:jc w:val="both"/>
        <w:rPr>
          <w:rFonts w:eastAsia="Times New Roman"/>
          <w:color w:val="000000"/>
          <w:lang w:eastAsia="bg-BG"/>
        </w:rPr>
      </w:pPr>
      <w:r>
        <w:rPr>
          <w:color w:val="000000"/>
          <w:lang w:eastAsia="bg-BG"/>
        </w:rPr>
        <w:t>аа) в т. 3 думите „базата данни“ се заменят с „регистъра“;</w:t>
      </w:r>
    </w:p>
    <w:p>
      <w:pPr>
        <w:pStyle w:val="Normal"/>
        <w:spacing w:lineRule="auto" w:line="360"/>
        <w:jc w:val="both"/>
        <w:rPr>
          <w:highlight w:val="white"/>
          <w:highlight w:val="yellow"/>
        </w:rPr>
      </w:pPr>
      <w:r>
        <w:rPr>
          <w:color w:val="000000"/>
          <w:lang w:eastAsia="bg-BG"/>
        </w:rPr>
        <w:t xml:space="preserve">           </w:t>
      </w:r>
      <w:r>
        <w:rPr>
          <w:color w:val="000000"/>
          <w:lang w:eastAsia="bg-BG"/>
        </w:rPr>
        <w:t>бб) в т. 4</w:t>
      </w:r>
      <w:r>
        <w:rPr>
          <w:rFonts w:eastAsia="Times New Roman"/>
          <w:color w:val="000000"/>
          <w:lang w:eastAsia="bg-BG"/>
        </w:rPr>
        <w:t xml:space="preserve"> </w:t>
      </w:r>
      <w:r>
        <w:rPr>
          <w:color w:val="000000"/>
          <w:lang w:eastAsia="bg-BG"/>
        </w:rPr>
        <w:t>думите „базата данни“ се заменят с „регистъра“, а „</w:t>
      </w:r>
      <w:r>
        <w:rPr>
          <w:highlight w:val="white"/>
          <w:shd w:fill="FEFEFE" w:val="clear"/>
        </w:rPr>
        <w:t>чл. 22г, ал. 3 от Наредба № 16</w:t>
      </w:r>
      <w:r>
        <w:rPr>
          <w:shd w:fill="FEFEFE" w:val="clear"/>
        </w:rPr>
        <w:t>” се заменят с „наредбата по чл. 17, ал. 2 от ЗПООПЗПЕС”.</w:t>
      </w:r>
    </w:p>
    <w:p>
      <w:pPr>
        <w:pStyle w:val="Normal"/>
        <w:spacing w:lineRule="auto" w:line="360"/>
        <w:ind w:firstLine="720"/>
        <w:jc w:val="both"/>
        <w:rPr>
          <w:rFonts w:eastAsia="Times New Roman"/>
          <w:color w:val="000000"/>
          <w:lang w:eastAsia="bg-BG"/>
        </w:rPr>
      </w:pPr>
      <w:r>
        <w:rPr>
          <w:rFonts w:eastAsia="Times New Roman"/>
          <w:color w:val="000000"/>
          <w:lang w:eastAsia="bg-BG"/>
        </w:rPr>
        <w:t xml:space="preserve">7. </w:t>
      </w:r>
      <w:r>
        <w:rPr>
          <w:color w:val="000000"/>
          <w:lang w:eastAsia="bg-BG"/>
        </w:rPr>
        <w:t>Параграф § 3 от допълнителните разпоредби се изменя така:</w:t>
      </w:r>
    </w:p>
    <w:p>
      <w:pPr>
        <w:pStyle w:val="Normal"/>
        <w:spacing w:lineRule="auto" w:line="360"/>
        <w:ind w:firstLine="720"/>
        <w:jc w:val="both"/>
        <w:rPr/>
      </w:pPr>
      <w:r>
        <w:rPr>
          <w:rFonts w:eastAsia="Times New Roman"/>
          <w:color w:val="000000"/>
          <w:lang w:eastAsia="bg-BG"/>
        </w:rPr>
        <w:t>„</w:t>
      </w:r>
      <w:r>
        <w:rPr>
          <w:rFonts w:eastAsia="Times New Roman"/>
          <w:color w:val="000000"/>
          <w:lang w:eastAsia="bg-BG"/>
        </w:rPr>
        <w:t xml:space="preserve">§ 3 </w:t>
      </w:r>
      <w:r>
        <w:rPr>
          <w:color w:val="000000"/>
        </w:rPr>
        <w:t xml:space="preserve">Регистърът по чл. 2, ал. 2, т. 2 и чл. 2а, ал. 1 е публично достъпен на </w:t>
      </w:r>
      <w:hyperlink r:id="rId5" w:tgtFrame="_blank">
        <w:r>
          <w:rPr>
            <w:rStyle w:val="InternetLink"/>
          </w:rPr>
          <w:t>интернет страница</w:t>
        </w:r>
      </w:hyperlink>
      <w:r>
        <w:rPr>
          <w:color w:val="000000"/>
        </w:rPr>
        <w:t xml:space="preserve"> на Министерството на земеделието, храните и горите.“</w:t>
      </w:r>
    </w:p>
    <w:p>
      <w:pPr>
        <w:pStyle w:val="Normal"/>
        <w:widowControl w:val="false"/>
        <w:spacing w:lineRule="auto" w:line="360"/>
        <w:jc w:val="both"/>
        <w:rPr>
          <w:rFonts w:eastAsia="Times New Roman"/>
          <w:b/>
          <w:b/>
          <w:bCs/>
          <w:lang w:eastAsia="en-US"/>
        </w:rPr>
      </w:pPr>
      <w:r>
        <w:rPr>
          <w:rFonts w:eastAsia="Times New Roman"/>
          <w:b/>
          <w:bCs/>
          <w:lang w:eastAsia="en-US"/>
        </w:rPr>
      </w:r>
    </w:p>
    <w:p>
      <w:pPr>
        <w:pStyle w:val="Normal"/>
        <w:widowControl w:val="false"/>
        <w:spacing w:lineRule="auto" w:line="360"/>
        <w:jc w:val="both"/>
        <w:rPr>
          <w:rFonts w:eastAsia="Times New Roman"/>
          <w:b/>
          <w:b/>
          <w:bCs/>
          <w:lang w:eastAsia="en-US"/>
        </w:rPr>
      </w:pPr>
      <w:r>
        <w:rPr>
          <w:rFonts w:eastAsia="Times New Roman"/>
          <w:b/>
          <w:bCs/>
          <w:lang w:eastAsia="en-US"/>
        </w:rPr>
      </w:r>
    </w:p>
    <w:p>
      <w:pPr>
        <w:pStyle w:val="Normal"/>
        <w:widowControl w:val="false"/>
        <w:spacing w:lineRule="auto" w:line="360"/>
        <w:jc w:val="both"/>
        <w:rPr>
          <w:rFonts w:eastAsia="Times New Roman"/>
          <w:b/>
          <w:b/>
          <w:bCs/>
          <w:lang w:eastAsia="en-US"/>
        </w:rPr>
      </w:pPr>
      <w:r>
        <w:rPr>
          <w:rFonts w:eastAsia="Times New Roman"/>
          <w:b/>
          <w:bCs/>
          <w:lang w:eastAsia="en-US"/>
        </w:rPr>
      </w:r>
    </w:p>
    <w:p>
      <w:pPr>
        <w:pStyle w:val="Normal"/>
        <w:jc w:val="both"/>
        <w:rPr>
          <w:rFonts w:eastAsia="Times New Roman"/>
          <w:b/>
          <w:b/>
          <w:lang w:eastAsia="bg-BG"/>
        </w:rPr>
      </w:pPr>
      <w:r>
        <w:rPr>
          <w:b/>
          <w:lang w:eastAsia="bg-BG"/>
        </w:rPr>
        <w:t xml:space="preserve">РУМЕН ПОРОЖАНОВ </w:t>
      </w:r>
    </w:p>
    <w:p>
      <w:pPr>
        <w:sectPr>
          <w:footerReference w:type="default" r:id="rId6"/>
          <w:type w:val="nextPage"/>
          <w:pgSz w:w="11906" w:h="16838"/>
          <w:pgMar w:left="1701" w:right="1134" w:header="0" w:top="1134" w:footer="709" w:bottom="766" w:gutter="0"/>
          <w:pgNumType w:fmt="decimal"/>
          <w:formProt w:val="false"/>
          <w:titlePg/>
          <w:textDirection w:val="lrTb"/>
          <w:docGrid w:type="default" w:linePitch="360" w:charSpace="0"/>
        </w:sectPr>
        <w:pStyle w:val="Normal"/>
        <w:tabs>
          <w:tab w:val="left" w:pos="720" w:leader="none"/>
        </w:tabs>
        <w:spacing w:before="0" w:after="0"/>
        <w:contextualSpacing/>
        <w:jc w:val="both"/>
        <w:rPr>
          <w:rFonts w:eastAsia="Times New Roman"/>
          <w:i/>
          <w:i/>
          <w:lang w:eastAsia="bg-BG"/>
        </w:rPr>
      </w:pPr>
      <w:r>
        <w:rPr>
          <w:i/>
          <w:lang w:eastAsia="bg-BG"/>
        </w:rPr>
        <w:t>Министър на земеделието, храните и горите</w:t>
      </w:r>
    </w:p>
    <w:p>
      <w:pPr>
        <w:pStyle w:val="Normal"/>
        <w:tabs>
          <w:tab w:val="left" w:pos="720" w:leader="none"/>
        </w:tabs>
        <w:spacing w:lineRule="auto" w:line="360" w:before="0" w:after="0"/>
        <w:contextualSpacing/>
        <w:jc w:val="both"/>
        <w:rPr>
          <w:rFonts w:eastAsia="Times New Roman"/>
          <w:smallCaps/>
          <w:lang w:eastAsia="bg-BG"/>
        </w:rPr>
      </w:pPr>
      <w:r>
        <w:rPr>
          <w:rFonts w:eastAsia="Times New Roman"/>
          <w:smallCaps/>
          <w:lang w:eastAsia="bg-BG"/>
        </w:rPr>
      </w:r>
    </w:p>
    <w:p>
      <w:pPr>
        <w:pStyle w:val="Normal"/>
        <w:widowControl w:val="false"/>
        <w:spacing w:lineRule="auto" w:line="360"/>
        <w:ind w:left="1" w:right="1" w:hanging="0"/>
        <w:jc w:val="right"/>
        <w:rPr>
          <w:highlight w:val="white"/>
        </w:rPr>
      </w:pPr>
      <w:r>
        <w:rPr>
          <w:shd w:fill="FEFEFE" w:val="clear"/>
        </w:rPr>
        <w:t xml:space="preserve">Приложение № 1 </w:t>
      </w:r>
    </w:p>
    <w:p>
      <w:pPr>
        <w:pStyle w:val="Normal"/>
        <w:widowControl w:val="false"/>
        <w:spacing w:lineRule="auto" w:line="360"/>
        <w:ind w:left="1" w:right="1" w:hanging="0"/>
        <w:jc w:val="right"/>
        <w:rPr>
          <w:highlight w:val="white"/>
        </w:rPr>
      </w:pPr>
      <w:r>
        <w:rPr>
          <w:shd w:fill="FEFEFE" w:val="clear"/>
        </w:rPr>
        <w:t>към чл. 7, ал. 1, т. 1</w:t>
      </w:r>
    </w:p>
    <w:p>
      <w:pPr>
        <w:pStyle w:val="Normal"/>
        <w:tabs>
          <w:tab w:val="left" w:pos="720" w:leader="none"/>
        </w:tabs>
        <w:spacing w:lineRule="auto" w:line="360"/>
        <w:jc w:val="center"/>
        <w:rPr>
          <w:rFonts w:eastAsia="Times New Roman"/>
          <w:smallCaps/>
          <w:lang w:eastAsia="bg-BG"/>
        </w:rPr>
      </w:pPr>
      <w:r>
        <w:rPr>
          <w:highlight w:val="white"/>
          <w:shd w:fill="FEFEFE" w:val="clear"/>
        </w:rPr>
        <w:t>РЕПУБЛИКА БЪЛГАРИЯ</w:t>
      </w:r>
    </w:p>
    <w:p>
      <w:pPr>
        <w:pStyle w:val="Normal"/>
        <w:tabs>
          <w:tab w:val="left" w:pos="720" w:leader="none"/>
        </w:tabs>
        <w:spacing w:lineRule="auto" w:line="360"/>
        <w:jc w:val="center"/>
        <w:rPr>
          <w:highlight w:val="white"/>
        </w:rPr>
      </w:pPr>
      <w:r>
        <w:rPr>
          <w:highlight w:val="white"/>
          <w:shd w:fill="FEFEFE" w:val="clear"/>
        </w:rPr>
        <w:t>МИНИСТЕРСТВО НА ЗЕМЕДЕЛИЕТО, ХРАНИТЕ И ГОРИТЕ</w:t>
      </w:r>
    </w:p>
    <w:p>
      <w:pPr>
        <w:pStyle w:val="Normal"/>
        <w:tabs>
          <w:tab w:val="left" w:pos="720" w:leader="none"/>
        </w:tabs>
        <w:spacing w:lineRule="auto" w:line="360"/>
        <w:jc w:val="center"/>
        <w:rPr>
          <w:rFonts w:eastAsia="Times New Roman"/>
          <w:smallCaps/>
          <w:lang w:eastAsia="bg-BG"/>
        </w:rPr>
      </w:pPr>
      <w:r>
        <w:rPr>
          <w:rFonts w:eastAsia="Times New Roman"/>
          <w:smallCaps/>
          <w:lang w:eastAsia="bg-BG"/>
        </w:rPr>
      </w:r>
    </w:p>
    <w:p>
      <w:pPr>
        <w:pStyle w:val="Normal"/>
        <w:widowControl w:val="false"/>
        <w:spacing w:lineRule="auto" w:line="360"/>
        <w:jc w:val="center"/>
        <w:rPr>
          <w:b/>
          <w:b/>
        </w:rPr>
      </w:pPr>
      <w:r>
        <w:rPr>
          <w:b/>
        </w:rPr>
        <w:t>Заявление-спецификация за вписване на наименование за произход или географско указание в Европейския регистър на защитените наименования за произход и защитените географски указания</w:t>
      </w:r>
    </w:p>
    <w:p>
      <w:pPr>
        <w:pStyle w:val="Normal"/>
        <w:tabs>
          <w:tab w:val="left" w:pos="720" w:leader="none"/>
        </w:tabs>
        <w:spacing w:lineRule="auto" w:line="360"/>
        <w:jc w:val="both"/>
        <w:rPr>
          <w:rFonts w:eastAsia="Times New Roman"/>
          <w:smallCaps/>
          <w:lang w:eastAsia="bg-BG"/>
        </w:rPr>
      </w:pPr>
      <w:r>
        <w:rPr>
          <w:rFonts w:eastAsia="Times New Roman"/>
          <w:smallCaps/>
          <w:lang w:eastAsia="bg-BG"/>
        </w:rPr>
      </w:r>
    </w:p>
    <w:p>
      <w:pPr>
        <w:pStyle w:val="Normal"/>
        <w:widowControl w:val="false"/>
        <w:spacing w:lineRule="auto" w:line="360" w:before="120" w:after="0"/>
        <w:jc w:val="both"/>
        <w:rPr>
          <w:b/>
          <w:b/>
        </w:rPr>
      </w:pPr>
      <w:r>
        <w:rPr>
          <w:b/>
        </w:rPr>
        <w:t>1.1. Данни за заявителя</w:t>
      </w:r>
    </w:p>
    <w:p>
      <w:pPr>
        <w:pStyle w:val="Normal"/>
        <w:widowControl w:val="false"/>
        <w:spacing w:lineRule="auto" w:line="360"/>
        <w:jc w:val="both"/>
        <w:rPr/>
      </w:pPr>
      <w:r>
        <w:rPr/>
        <w:t>Име на представителя на групата от производители:</w:t>
      </w:r>
    </w:p>
    <w:p>
      <w:pPr>
        <w:pStyle w:val="Normal"/>
        <w:widowControl w:val="false"/>
        <w:spacing w:lineRule="auto" w:line="360"/>
        <w:jc w:val="both"/>
        <w:rPr/>
      </w:pPr>
      <w:r>
        <w:rPr/>
        <w:t>Наименование на групата от производители:</w:t>
      </w:r>
    </w:p>
    <w:p>
      <w:pPr>
        <w:pStyle w:val="Normal"/>
        <w:widowControl w:val="false"/>
        <w:spacing w:lineRule="auto" w:line="360"/>
        <w:jc w:val="both"/>
        <w:rPr/>
      </w:pPr>
      <w:r>
        <w:rPr/>
        <w:t>Седалище и адрес на управление на групата от производители или адрес на представителя в случай на гражданско дружество:</w:t>
      </w:r>
    </w:p>
    <w:p>
      <w:pPr>
        <w:pStyle w:val="Normal"/>
        <w:widowControl w:val="false"/>
        <w:spacing w:lineRule="auto" w:line="360"/>
        <w:jc w:val="both"/>
        <w:rPr/>
      </w:pPr>
      <w:r>
        <w:rPr/>
        <w:t xml:space="preserve">Пощенски код: </w:t>
      </w:r>
    </w:p>
    <w:p>
      <w:pPr>
        <w:pStyle w:val="Normal"/>
        <w:widowControl w:val="false"/>
        <w:spacing w:lineRule="auto" w:line="360"/>
        <w:jc w:val="both"/>
        <w:rPr/>
      </w:pPr>
      <w:r>
        <w:rPr/>
        <w:t>Телефон:</w:t>
      </w:r>
    </w:p>
    <w:p>
      <w:pPr>
        <w:pStyle w:val="Normal"/>
        <w:widowControl w:val="false"/>
        <w:spacing w:lineRule="auto" w:line="360"/>
        <w:jc w:val="both"/>
        <w:rPr/>
      </w:pPr>
      <w:r>
        <w:rPr/>
        <w:t xml:space="preserve">Електронен адрес: </w:t>
      </w:r>
    </w:p>
    <w:p>
      <w:pPr>
        <w:pStyle w:val="Normal"/>
        <w:widowControl w:val="false"/>
        <w:spacing w:lineRule="auto" w:line="360" w:before="120" w:after="0"/>
        <w:jc w:val="both"/>
        <w:rPr>
          <w:b/>
          <w:b/>
        </w:rPr>
      </w:pPr>
      <w:r>
        <w:rPr>
          <w:b/>
        </w:rPr>
        <w:t>1.2. Данни за заявителя, когато е единствен производител</w:t>
      </w:r>
    </w:p>
    <w:p>
      <w:pPr>
        <w:pStyle w:val="Normal"/>
        <w:widowControl w:val="false"/>
        <w:spacing w:lineRule="auto" w:line="360"/>
        <w:jc w:val="both"/>
        <w:rPr/>
      </w:pPr>
      <w:r>
        <w:rPr/>
        <w:t>Име на производителя:</w:t>
      </w:r>
    </w:p>
    <w:p>
      <w:pPr>
        <w:pStyle w:val="Normal"/>
        <w:widowControl w:val="false"/>
        <w:spacing w:lineRule="auto" w:line="360"/>
        <w:jc w:val="both"/>
        <w:rPr/>
      </w:pPr>
      <w:r>
        <w:rPr/>
        <w:t>Седалище и адрес на управление/местожителство и постоянен адрес:</w:t>
      </w:r>
    </w:p>
    <w:p>
      <w:pPr>
        <w:pStyle w:val="Normal"/>
        <w:widowControl w:val="false"/>
        <w:spacing w:lineRule="auto" w:line="360"/>
        <w:jc w:val="both"/>
        <w:rPr/>
      </w:pPr>
      <w:r>
        <w:rPr/>
        <w:t>Пощенски код:</w:t>
      </w:r>
    </w:p>
    <w:p>
      <w:pPr>
        <w:pStyle w:val="Normal"/>
        <w:widowControl w:val="false"/>
        <w:spacing w:lineRule="auto" w:line="360"/>
        <w:jc w:val="both"/>
        <w:rPr/>
      </w:pPr>
      <w:r>
        <w:rPr/>
        <w:t>Телефон: факс:</w:t>
      </w:r>
    </w:p>
    <w:p>
      <w:pPr>
        <w:pStyle w:val="Normal"/>
        <w:widowControl w:val="false"/>
        <w:spacing w:lineRule="auto" w:line="360"/>
        <w:jc w:val="both"/>
        <w:rPr/>
      </w:pPr>
      <w:r>
        <w:rPr/>
        <w:t>Електронен адрес:</w:t>
      </w:r>
    </w:p>
    <w:p>
      <w:pPr>
        <w:pStyle w:val="Normal"/>
        <w:widowControl w:val="false"/>
        <w:spacing w:lineRule="auto" w:line="360" w:before="120" w:after="0"/>
        <w:jc w:val="both"/>
        <w:rPr>
          <w:b/>
          <w:b/>
        </w:rPr>
      </w:pPr>
      <w:r>
        <w:rPr>
          <w:b/>
        </w:rPr>
        <w:t>2. Предмет на заявлението</w:t>
      </w:r>
    </w:p>
    <w:p>
      <w:pPr>
        <w:pStyle w:val="Normal"/>
        <w:widowControl w:val="false"/>
        <w:spacing w:lineRule="auto" w:line="360"/>
        <w:jc w:val="both"/>
        <w:rPr/>
      </w:pPr>
      <w:r>
        <w:rPr/>
        <w:t>2.1. Моля посочете дали желаете:</w:t>
      </w:r>
    </w:p>
    <w:p>
      <w:pPr>
        <w:pStyle w:val="Normal"/>
        <w:widowControl w:val="false"/>
        <w:spacing w:lineRule="auto" w:line="360"/>
        <w:jc w:val="both"/>
        <w:rPr/>
      </w:pPr>
      <w:r>
        <w:rPr/>
        <w:t xml:space="preserve"> □ </w:t>
      </w:r>
      <w:r>
        <w:rPr/>
        <w:t>вписване на защитено географско указание</w:t>
      </w:r>
    </w:p>
    <w:p>
      <w:pPr>
        <w:pStyle w:val="Normal"/>
        <w:widowControl w:val="false"/>
        <w:spacing w:lineRule="auto" w:line="360"/>
        <w:jc w:val="both"/>
        <w:rPr/>
      </w:pPr>
      <w:r>
        <w:rPr/>
        <w:t xml:space="preserve"> □ </w:t>
      </w:r>
      <w:r>
        <w:rPr/>
        <w:t>вписване на защитено наименование за произход</w:t>
      </w:r>
    </w:p>
    <w:p>
      <w:pPr>
        <w:pStyle w:val="Normal"/>
        <w:widowControl w:val="false"/>
        <w:spacing w:lineRule="auto" w:line="360" w:before="120" w:after="0"/>
        <w:jc w:val="both"/>
        <w:rPr>
          <w:b/>
          <w:b/>
        </w:rPr>
      </w:pPr>
      <w:r>
        <w:rPr>
          <w:b/>
        </w:rPr>
        <w:t xml:space="preserve">3. Продуктова спецификация </w:t>
      </w:r>
    </w:p>
    <w:p>
      <w:pPr>
        <w:pStyle w:val="Normal"/>
        <w:widowControl w:val="false"/>
        <w:spacing w:lineRule="auto" w:line="360" w:before="120" w:after="0"/>
        <w:jc w:val="both"/>
        <w:rPr>
          <w:b/>
          <w:b/>
        </w:rPr>
      </w:pPr>
      <w:r>
        <w:rPr>
          <w:b/>
        </w:rPr>
        <w:t xml:space="preserve">3.1. Наименование на продукта:                               </w:t>
      </w:r>
    </w:p>
    <w:p>
      <w:pPr>
        <w:pStyle w:val="Normal"/>
        <w:widowControl w:val="false"/>
        <w:spacing w:lineRule="auto" w:line="360" w:before="120" w:after="0"/>
        <w:jc w:val="both"/>
        <w:rPr/>
      </w:pPr>
      <w:r>
        <w:rPr>
          <w:b/>
        </w:rPr>
        <w:t>3.2. Вид на продукта</w:t>
      </w:r>
      <w:r>
        <w:rPr/>
        <w:t xml:space="preserve"> съгласно Приложение № XI от Регламент за изпълнение (ЕС) № 668/2014 на Комисията от 13 юни 2014 г. за определяне на правила за прилагането на Регламент (ЕС) № 1151/2012 на Европейския парламент и на Съвета относно схемите за качество на селскостопанските продукти и храни.</w:t>
      </w:r>
    </w:p>
    <w:p>
      <w:pPr>
        <w:pStyle w:val="Normal"/>
        <w:widowControl w:val="false"/>
        <w:spacing w:lineRule="auto" w:line="360" w:before="120" w:after="0"/>
        <w:jc w:val="both"/>
        <w:rPr>
          <w:b/>
          <w:b/>
        </w:rPr>
      </w:pPr>
      <w:r>
        <w:rPr>
          <w:b/>
        </w:rPr>
        <w:t>3.3 Фуражи (за продукти от животински произход) и суровини (за преработени продукти).</w:t>
      </w:r>
    </w:p>
    <w:p>
      <w:pPr>
        <w:pStyle w:val="Normal"/>
        <w:widowControl w:val="false"/>
        <w:spacing w:lineRule="auto" w:line="360"/>
        <w:jc w:val="both"/>
        <w:rPr/>
      </w:pPr>
      <w:r>
        <w:rPr/>
        <w:t>Моля представете информация в съответствие с т. 3.3 от Приложение I от Регламент за изпълнение (ЕС) № 668/2014.</w:t>
      </w:r>
    </w:p>
    <w:p>
      <w:pPr>
        <w:pStyle w:val="Normal"/>
        <w:widowControl w:val="false"/>
        <w:spacing w:lineRule="auto" w:line="360"/>
        <w:jc w:val="both"/>
        <w:rPr/>
      </w:pPr>
      <w:r>
        <w:rPr/>
        <w:t>Продължете на отделен лист, ако е необходимо.</w:t>
      </w:r>
    </w:p>
    <w:p>
      <w:pPr>
        <w:pStyle w:val="Normal"/>
        <w:widowControl w:val="false"/>
        <w:spacing w:lineRule="auto" w:line="360" w:before="120" w:after="0"/>
        <w:jc w:val="both"/>
        <w:rPr>
          <w:b/>
          <w:b/>
        </w:rPr>
      </w:pPr>
      <w:r>
        <w:rPr>
          <w:b/>
        </w:rPr>
        <w:t>3.4. Опишете основните характеристики на продукта</w:t>
      </w:r>
    </w:p>
    <w:p>
      <w:pPr>
        <w:pStyle w:val="Normal"/>
        <w:widowControl w:val="false"/>
        <w:spacing w:lineRule="auto" w:line="360"/>
        <w:jc w:val="both"/>
        <w:rPr/>
      </w:pPr>
      <w:r>
        <w:rPr/>
        <w:t xml:space="preserve">Описание: </w:t>
      </w:r>
    </w:p>
    <w:p>
      <w:pPr>
        <w:pStyle w:val="Normal"/>
        <w:widowControl w:val="false"/>
        <w:spacing w:lineRule="auto" w:line="360"/>
        <w:jc w:val="both"/>
        <w:rPr/>
      </w:pPr>
      <w:r>
        <w:rPr/>
        <w:t xml:space="preserve">Външен вид: </w:t>
      </w:r>
    </w:p>
    <w:p>
      <w:pPr>
        <w:pStyle w:val="Normal"/>
        <w:widowControl w:val="false"/>
        <w:spacing w:lineRule="auto" w:line="360"/>
        <w:jc w:val="both"/>
        <w:rPr/>
      </w:pPr>
      <w:r>
        <w:rPr/>
        <w:t xml:space="preserve">Форма: </w:t>
      </w:r>
    </w:p>
    <w:p>
      <w:pPr>
        <w:pStyle w:val="Normal"/>
        <w:widowControl w:val="false"/>
        <w:spacing w:lineRule="auto" w:line="360"/>
        <w:jc w:val="both"/>
        <w:rPr/>
      </w:pPr>
      <w:r>
        <w:rPr/>
        <w:t xml:space="preserve">Размер: </w:t>
      </w:r>
    </w:p>
    <w:p>
      <w:pPr>
        <w:pStyle w:val="Normal"/>
        <w:widowControl w:val="false"/>
        <w:spacing w:lineRule="auto" w:line="360"/>
        <w:jc w:val="both"/>
        <w:rPr/>
      </w:pPr>
      <w:r>
        <w:rPr/>
        <w:t xml:space="preserve">Цвят: </w:t>
      </w:r>
    </w:p>
    <w:p>
      <w:pPr>
        <w:pStyle w:val="Normal"/>
        <w:widowControl w:val="false"/>
        <w:spacing w:lineRule="auto" w:line="360"/>
        <w:jc w:val="both"/>
        <w:rPr/>
      </w:pPr>
      <w:r>
        <w:rPr/>
        <w:t xml:space="preserve">Консистенция: </w:t>
      </w:r>
    </w:p>
    <w:p>
      <w:pPr>
        <w:pStyle w:val="Normal"/>
        <w:widowControl w:val="false"/>
        <w:spacing w:lineRule="auto" w:line="360"/>
        <w:jc w:val="both"/>
        <w:rPr/>
      </w:pPr>
      <w:r>
        <w:rPr/>
        <w:t xml:space="preserve">Вкус: </w:t>
      </w:r>
    </w:p>
    <w:p>
      <w:pPr>
        <w:pStyle w:val="Normal"/>
        <w:widowControl w:val="false"/>
        <w:spacing w:lineRule="auto" w:line="360"/>
        <w:jc w:val="both"/>
        <w:rPr/>
      </w:pPr>
      <w:r>
        <w:rPr/>
        <w:t xml:space="preserve">Микробиологични/химични показатели, например съдържание на млечни мазнини/киселинност: </w:t>
      </w:r>
    </w:p>
    <w:p>
      <w:pPr>
        <w:pStyle w:val="Normal"/>
        <w:widowControl w:val="false"/>
        <w:spacing w:lineRule="auto" w:line="360"/>
        <w:jc w:val="both"/>
        <w:rPr/>
      </w:pPr>
      <w:r>
        <w:rPr/>
        <w:t>Допълнително описание, което желаете да прибавите:</w:t>
      </w:r>
    </w:p>
    <w:p>
      <w:pPr>
        <w:pStyle w:val="Normal"/>
        <w:widowControl w:val="false"/>
        <w:spacing w:lineRule="auto" w:line="360" w:before="120" w:after="0"/>
        <w:jc w:val="both"/>
        <w:rPr>
          <w:b/>
          <w:b/>
        </w:rPr>
      </w:pPr>
      <w:r>
        <w:rPr>
          <w:b/>
        </w:rPr>
        <w:t>3.5. Метод на производство</w:t>
      </w:r>
    </w:p>
    <w:p>
      <w:pPr>
        <w:pStyle w:val="Normal"/>
        <w:widowControl w:val="false"/>
        <w:spacing w:lineRule="auto" w:line="360"/>
        <w:jc w:val="both"/>
        <w:rPr/>
      </w:pPr>
      <w:r>
        <w:rPr/>
        <w:t xml:space="preserve">Опишете всеки етап от метода на производство, включително местни и традиционни умения – място на производство, преработка и т. н. </w:t>
      </w:r>
    </w:p>
    <w:p>
      <w:pPr>
        <w:pStyle w:val="Normal"/>
        <w:widowControl w:val="false"/>
        <w:spacing w:lineRule="auto" w:line="360"/>
        <w:jc w:val="both"/>
        <w:rPr/>
      </w:pPr>
      <w:r>
        <w:rPr/>
        <w:t xml:space="preserve">Етап – </w:t>
      </w:r>
    </w:p>
    <w:p>
      <w:pPr>
        <w:pStyle w:val="Normal"/>
        <w:widowControl w:val="false"/>
        <w:spacing w:lineRule="auto" w:line="360"/>
        <w:jc w:val="both"/>
        <w:rPr/>
      </w:pPr>
      <w:r>
        <w:rPr/>
        <w:t>Етап –</w:t>
      </w:r>
    </w:p>
    <w:p>
      <w:pPr>
        <w:pStyle w:val="Normal"/>
        <w:widowControl w:val="false"/>
        <w:spacing w:lineRule="auto" w:line="360"/>
        <w:jc w:val="both"/>
        <w:rPr/>
      </w:pPr>
      <w:r>
        <w:rPr/>
        <w:t>Етап –</w:t>
      </w:r>
    </w:p>
    <w:p>
      <w:pPr>
        <w:pStyle w:val="Normal"/>
        <w:widowControl w:val="false"/>
        <w:spacing w:lineRule="auto" w:line="360" w:before="120" w:after="0"/>
        <w:jc w:val="both"/>
        <w:rPr/>
      </w:pPr>
      <w:r>
        <w:rPr>
          <w:b/>
        </w:rPr>
        <w:t>3.6. Начин на опаковане и етикетиране</w:t>
      </w:r>
      <w:r>
        <w:rPr/>
        <w:t xml:space="preserve"> – подробности по вида на опаковане, размери и вид опаковка. Изисквания към данните, които се включват в етикетите:</w:t>
      </w:r>
    </w:p>
    <w:p>
      <w:pPr>
        <w:pStyle w:val="Normal"/>
        <w:widowControl w:val="false"/>
        <w:spacing w:lineRule="auto" w:line="360" w:before="120" w:after="0"/>
        <w:jc w:val="both"/>
        <w:rPr/>
      </w:pPr>
      <w:r>
        <w:rPr>
          <w:b/>
        </w:rPr>
        <w:t>3.7. Описание на границите на географската област</w:t>
      </w:r>
      <w:r>
        <w:rPr/>
        <w:t xml:space="preserve"> – очертаване на географската област на производство на административен или географски принцип – специфични природно-климатични условия: </w:t>
      </w:r>
    </w:p>
    <w:p>
      <w:pPr>
        <w:pStyle w:val="Normal"/>
        <w:widowControl w:val="false"/>
        <w:spacing w:lineRule="auto" w:line="360" w:before="120" w:after="0"/>
        <w:jc w:val="both"/>
        <w:rPr/>
      </w:pPr>
      <w:r>
        <w:rPr>
          <w:b/>
        </w:rPr>
        <w:t>3.7.1. Посочете характеристиките на определената географска област, които я отличават от съседните географски области</w:t>
      </w:r>
      <w:r>
        <w:rPr/>
        <w:t xml:space="preserve"> (попълва се само когато заявителят е единствен производител):</w:t>
      </w:r>
    </w:p>
    <w:p>
      <w:pPr>
        <w:pStyle w:val="Normal"/>
        <w:widowControl w:val="false"/>
        <w:spacing w:lineRule="auto" w:line="360" w:before="120" w:after="0"/>
        <w:jc w:val="both"/>
        <w:rPr>
          <w:b/>
          <w:b/>
        </w:rPr>
      </w:pPr>
      <w:r>
        <w:rPr>
          <w:b/>
        </w:rPr>
        <w:t>3.8. Доказателства, че продуктът или храната произхожда от посочената географска област:</w:t>
      </w:r>
    </w:p>
    <w:p>
      <w:pPr>
        <w:pStyle w:val="Normal"/>
        <w:widowControl w:val="false"/>
        <w:spacing w:lineRule="auto" w:line="360"/>
        <w:jc w:val="both"/>
        <w:rPr/>
      </w:pPr>
      <w:r>
        <w:rPr/>
        <w:t>а) Производството се извършва в посочената географска област;</w:t>
      </w:r>
    </w:p>
    <w:p>
      <w:pPr>
        <w:pStyle w:val="Normal"/>
        <w:widowControl w:val="false"/>
        <w:spacing w:lineRule="auto" w:line="360"/>
        <w:jc w:val="both"/>
        <w:rPr/>
      </w:pPr>
      <w:r>
        <w:rPr/>
        <w:t>б) Преработката се извършва в посочената географска област;</w:t>
      </w:r>
    </w:p>
    <w:p>
      <w:pPr>
        <w:pStyle w:val="Normal"/>
        <w:widowControl w:val="false"/>
        <w:spacing w:lineRule="auto" w:line="360"/>
        <w:jc w:val="both"/>
        <w:rPr/>
      </w:pPr>
      <w:r>
        <w:rPr/>
        <w:t>в) Заготовката се извършва в посочената географска област;</w:t>
      </w:r>
    </w:p>
    <w:p>
      <w:pPr>
        <w:pStyle w:val="Normal"/>
        <w:widowControl w:val="false"/>
        <w:spacing w:lineRule="auto" w:line="360"/>
        <w:jc w:val="both"/>
        <w:rPr/>
      </w:pPr>
      <w:r>
        <w:rPr/>
        <w:t>г) Живите животни, месото или млякото, влагани като суровини, произхождат от посочената географска област .</w:t>
      </w:r>
    </w:p>
    <w:p>
      <w:pPr>
        <w:pStyle w:val="Normal"/>
        <w:widowControl w:val="false"/>
        <w:spacing w:lineRule="auto" w:line="360" w:before="120" w:after="0"/>
        <w:jc w:val="both"/>
        <w:rPr>
          <w:b/>
          <w:b/>
        </w:rPr>
      </w:pPr>
      <w:r>
        <w:rPr>
          <w:b/>
        </w:rPr>
        <w:t>3.9. Обяснение на връзката между притежаваните характеристики на продукта или храната и географската област, включваща природни и човешки фактори:</w:t>
      </w:r>
    </w:p>
    <w:p>
      <w:pPr>
        <w:pStyle w:val="Normal"/>
        <w:widowControl w:val="false"/>
        <w:spacing w:lineRule="auto" w:line="360" w:before="120" w:after="0"/>
        <w:jc w:val="both"/>
        <w:rPr/>
      </w:pPr>
      <w:r>
        <w:rPr>
          <w:b/>
        </w:rPr>
        <w:t>3.10. Други характеристики</w:t>
      </w:r>
      <w:r>
        <w:rPr/>
        <w:t xml:space="preserve"> – добро име, качество, известност или друга характеристика на земеделския продукт или храна, които могат да се отдадат на този географски произход:</w:t>
      </w:r>
    </w:p>
    <w:p>
      <w:pPr>
        <w:pStyle w:val="Normal"/>
        <w:widowControl w:val="false"/>
        <w:spacing w:lineRule="auto" w:line="360" w:before="120" w:after="0"/>
        <w:jc w:val="both"/>
        <w:rPr>
          <w:b/>
          <w:b/>
        </w:rPr>
      </w:pPr>
      <w:r>
        <w:rPr>
          <w:b/>
        </w:rPr>
        <w:t xml:space="preserve">3.11.Моля, ако е приложена илюстрираща информация, отбележете: Да/Не </w:t>
      </w:r>
    </w:p>
    <w:p>
      <w:pPr>
        <w:pStyle w:val="Normal"/>
        <w:widowControl w:val="false"/>
        <w:spacing w:lineRule="auto" w:line="360"/>
        <w:jc w:val="both"/>
        <w:rPr/>
      </w:pPr>
      <w:r>
        <w:rPr/>
        <w:t>Избройте приложените материали:</w:t>
      </w:r>
    </w:p>
    <w:p>
      <w:pPr>
        <w:pStyle w:val="Normal"/>
        <w:widowControl w:val="false"/>
        <w:spacing w:lineRule="auto" w:line="360" w:before="120" w:after="0"/>
        <w:jc w:val="both"/>
        <w:rPr>
          <w:b/>
          <w:b/>
        </w:rPr>
      </w:pPr>
      <w:r>
        <w:rPr>
          <w:b/>
        </w:rPr>
        <w:t>3.12. Имало ли е важни технологични промени в спецификацията през последните години? Да/Не</w:t>
      </w:r>
    </w:p>
    <w:p>
      <w:pPr>
        <w:pStyle w:val="Normal"/>
        <w:widowControl w:val="false"/>
        <w:spacing w:lineRule="auto" w:line="360"/>
        <w:jc w:val="both"/>
        <w:rPr/>
      </w:pPr>
      <w:r>
        <w:rPr/>
        <w:t>Ако отговорът е „Да“, моля, пояснете накратко:</w:t>
      </w:r>
    </w:p>
    <w:p>
      <w:pPr>
        <w:pStyle w:val="Normal"/>
        <w:widowControl w:val="false"/>
        <w:spacing w:lineRule="auto" w:line="360" w:before="120" w:after="0"/>
        <w:jc w:val="both"/>
        <w:rPr/>
      </w:pPr>
      <w:r>
        <w:rPr>
          <w:b/>
        </w:rPr>
        <w:t>3.13. Контролиращо лице</w:t>
      </w:r>
      <w:r>
        <w:rPr/>
        <w:t xml:space="preserve"> – име, адрес, тел., факс, ел. адрес:</w:t>
      </w:r>
    </w:p>
    <w:p>
      <w:pPr>
        <w:pStyle w:val="Normal"/>
        <w:widowControl w:val="false"/>
        <w:spacing w:lineRule="auto" w:line="360" w:before="120" w:after="0"/>
        <w:jc w:val="both"/>
        <w:rPr>
          <w:b/>
          <w:b/>
        </w:rPr>
      </w:pPr>
      <w:r>
        <w:rPr>
          <w:b/>
        </w:rPr>
        <w:t>3.14. Процедура/и за проследяемост на произхода на суровините и реализацията на готовия продукт съгласно чл. 4 от Регламент за изпълнение (ЕС) № 668/2014.</w:t>
      </w:r>
    </w:p>
    <w:p>
      <w:pPr>
        <w:pStyle w:val="Normal"/>
        <w:widowControl w:val="false"/>
        <w:spacing w:lineRule="auto" w:line="360"/>
        <w:jc w:val="both"/>
        <w:rPr/>
      </w:pPr>
      <w:r>
        <w:rPr/>
      </w:r>
    </w:p>
    <w:p>
      <w:pPr>
        <w:pStyle w:val="Normal"/>
        <w:widowControl w:val="false"/>
        <w:spacing w:lineRule="auto" w:line="360"/>
        <w:jc w:val="both"/>
        <w:rPr/>
      </w:pPr>
      <w:r>
        <w:rPr/>
      </w:r>
    </w:p>
    <w:p>
      <w:pPr>
        <w:pStyle w:val="Normal"/>
        <w:widowControl w:val="false"/>
        <w:spacing w:lineRule="auto" w:line="360"/>
        <w:jc w:val="both"/>
        <w:rPr/>
      </w:pPr>
      <w:r>
        <w:rPr/>
        <w:t>Дата:</w:t>
        <w:tab/>
        <w:tab/>
        <w:tab/>
        <w:tab/>
        <w:tab/>
        <w:tab/>
        <w:tab/>
        <w:tab/>
        <w:tab/>
        <w:t>Подпис:</w:t>
      </w:r>
    </w:p>
    <w:p>
      <w:pPr>
        <w:pStyle w:val="Normal"/>
        <w:widowControl w:val="false"/>
        <w:spacing w:lineRule="auto" w:line="360"/>
        <w:jc w:val="both"/>
        <w:rPr>
          <w:rFonts w:eastAsia="Times New Roman"/>
          <w:b/>
          <w:b/>
          <w:bCs/>
          <w:lang w:eastAsia="en-US"/>
        </w:rPr>
      </w:pPr>
      <w:r>
        <w:rPr>
          <w:rFonts w:eastAsia="Times New Roman"/>
          <w:b/>
          <w:bCs/>
          <w:lang w:eastAsia="en-US"/>
        </w:rPr>
      </w:r>
    </w:p>
    <w:p>
      <w:pPr>
        <w:pStyle w:val="Normal"/>
        <w:widowControl w:val="false"/>
        <w:spacing w:lineRule="auto" w:line="360"/>
        <w:jc w:val="both"/>
        <w:rPr>
          <w:rFonts w:eastAsia="Times New Roman"/>
          <w:b/>
          <w:b/>
          <w:bCs/>
          <w:lang w:eastAsia="en-US"/>
        </w:rPr>
      </w:pPr>
      <w:r>
        <w:rPr>
          <w:rFonts w:eastAsia="Times New Roman"/>
          <w:b/>
          <w:bCs/>
          <w:lang w:eastAsia="en-US"/>
        </w:rPr>
      </w:r>
      <w:r>
        <w:br w:type="page"/>
      </w:r>
    </w:p>
    <w:p>
      <w:pPr>
        <w:pStyle w:val="Normal"/>
        <w:widowControl w:val="false"/>
        <w:spacing w:lineRule="auto" w:line="360"/>
        <w:jc w:val="right"/>
        <w:rPr>
          <w:rFonts w:eastAsia="PMingLiU"/>
          <w:lang w:eastAsia="en-US"/>
        </w:rPr>
      </w:pPr>
      <w:r>
        <w:rPr>
          <w:rFonts w:eastAsia="PMingLiU"/>
          <w:lang w:eastAsia="en-US"/>
        </w:rPr>
        <w:t xml:space="preserve">Приложение № 2 </w:t>
        <w:br/>
        <w:t>към чл. 7, ал. 2, т. 3 и чл. 26, ал. 2, т. 3</w:t>
      </w:r>
    </w:p>
    <w:p>
      <w:pPr>
        <w:pStyle w:val="Normal"/>
        <w:widowControl w:val="false"/>
        <w:spacing w:lineRule="auto" w:line="360"/>
        <w:jc w:val="center"/>
        <w:rPr>
          <w:rFonts w:eastAsia="Times New Roman"/>
          <w:b/>
          <w:b/>
          <w:bCs/>
          <w:lang w:eastAsia="en-US"/>
        </w:rPr>
      </w:pPr>
      <w:r>
        <w:rPr>
          <w:rFonts w:eastAsia="Times New Roman"/>
          <w:b/>
          <w:bCs/>
          <w:lang w:eastAsia="en-US"/>
        </w:rPr>
      </w:r>
    </w:p>
    <w:p>
      <w:pPr>
        <w:pStyle w:val="Normal"/>
        <w:widowControl w:val="false"/>
        <w:spacing w:lineRule="auto" w:line="360"/>
        <w:jc w:val="center"/>
        <w:rPr>
          <w:rFonts w:eastAsia="Times New Roman"/>
          <w:b/>
          <w:b/>
          <w:bCs/>
          <w:lang w:eastAsia="en-US"/>
        </w:rPr>
      </w:pPr>
      <w:r>
        <w:rPr>
          <w:rFonts w:eastAsia="PMingLiU"/>
          <w:b/>
          <w:caps/>
          <w:spacing w:val="90"/>
          <w:lang w:eastAsia="en-US"/>
        </w:rPr>
        <w:t>Декларация</w:t>
      </w:r>
    </w:p>
    <w:p>
      <w:pPr>
        <w:pStyle w:val="Normal"/>
        <w:widowControl w:val="false"/>
        <w:spacing w:lineRule="auto" w:line="360"/>
        <w:jc w:val="center"/>
        <w:rPr>
          <w:rFonts w:eastAsia="Times New Roman"/>
          <w:b/>
          <w:b/>
          <w:bCs/>
          <w:lang w:eastAsia="en-US"/>
        </w:rPr>
      </w:pPr>
      <w:r>
        <w:rPr>
          <w:rFonts w:eastAsia="Times New Roman"/>
          <w:b/>
          <w:bCs/>
          <w:lang w:eastAsia="en-US"/>
        </w:rPr>
      </w:r>
    </w:p>
    <w:p>
      <w:pPr>
        <w:pStyle w:val="Normal"/>
        <w:widowControl w:val="false"/>
        <w:spacing w:lineRule="auto" w:line="360"/>
        <w:jc w:val="center"/>
        <w:rPr>
          <w:rFonts w:eastAsia="Times New Roman"/>
          <w:b/>
          <w:b/>
          <w:bCs/>
          <w:lang w:eastAsia="en-US"/>
        </w:rPr>
      </w:pPr>
      <w:r>
        <w:rPr>
          <w:rFonts w:eastAsia="PMingLiU"/>
          <w:lang w:eastAsia="en-US"/>
        </w:rPr>
        <w:t>Долуподписаният/ата ............................................................................................................</w:t>
      </w:r>
    </w:p>
    <w:p>
      <w:pPr>
        <w:pStyle w:val="Normal"/>
        <w:widowControl w:val="false"/>
        <w:spacing w:lineRule="auto" w:line="360"/>
        <w:jc w:val="center"/>
        <w:rPr>
          <w:rFonts w:eastAsia="PMingLiU"/>
          <w:lang w:eastAsia="en-US"/>
        </w:rPr>
      </w:pPr>
      <w:r>
        <w:rPr>
          <w:rFonts w:eastAsia="PMingLiU"/>
          <w:lang w:eastAsia="en-US"/>
        </w:rPr>
        <w:t>.................................................................................................................................................,</w:t>
      </w:r>
    </w:p>
    <w:p>
      <w:pPr>
        <w:pStyle w:val="Normal"/>
        <w:widowControl w:val="false"/>
        <w:spacing w:lineRule="auto" w:line="360"/>
        <w:jc w:val="center"/>
        <w:rPr>
          <w:rFonts w:eastAsia="PMingLiU"/>
          <w:lang w:eastAsia="en-US"/>
        </w:rPr>
      </w:pPr>
      <w:r>
        <w:rPr>
          <w:rFonts w:eastAsia="PMingLiU"/>
          <w:lang w:eastAsia="en-US"/>
        </w:rPr>
        <w:t>представител на .....................................................................................................................</w:t>
      </w:r>
    </w:p>
    <w:p>
      <w:pPr>
        <w:pStyle w:val="Normal"/>
        <w:widowControl w:val="false"/>
        <w:spacing w:lineRule="auto" w:line="360"/>
        <w:jc w:val="center"/>
        <w:rPr>
          <w:rFonts w:eastAsia="PMingLiU"/>
          <w:lang w:eastAsia="en-US"/>
        </w:rPr>
      </w:pPr>
      <w:r>
        <w:rPr>
          <w:rFonts w:eastAsia="PMingLiU"/>
          <w:lang w:eastAsia="en-US"/>
        </w:rPr>
        <w:t>.................................................................................................................................................,</w:t>
      </w:r>
    </w:p>
    <w:p>
      <w:pPr>
        <w:pStyle w:val="Normal"/>
        <w:widowControl w:val="false"/>
        <w:spacing w:lineRule="auto" w:line="360"/>
        <w:jc w:val="center"/>
        <w:rPr>
          <w:rFonts w:eastAsia="PMingLiU"/>
          <w:lang w:eastAsia="en-US"/>
        </w:rPr>
      </w:pPr>
      <w:r>
        <w:rPr>
          <w:rFonts w:eastAsia="PMingLiU"/>
          <w:lang w:eastAsia="en-US"/>
        </w:rPr>
        <w:t>ЕИК, седалище и адрес на управление: ..............................................................................</w:t>
      </w:r>
    </w:p>
    <w:p>
      <w:pPr>
        <w:pStyle w:val="Normal"/>
        <w:widowControl w:val="false"/>
        <w:spacing w:lineRule="auto" w:line="360"/>
        <w:jc w:val="center"/>
        <w:rPr>
          <w:rFonts w:eastAsia="PMingLiU"/>
          <w:lang w:eastAsia="en-US"/>
        </w:rPr>
      </w:pPr>
      <w:r>
        <w:rPr>
          <w:rFonts w:eastAsia="PMingLiU"/>
          <w:lang w:eastAsia="en-US"/>
        </w:rPr>
        <w:t>..................................................................................................................................................</w:t>
      </w:r>
    </w:p>
    <w:p>
      <w:pPr>
        <w:pStyle w:val="Normal"/>
        <w:widowControl w:val="false"/>
        <w:spacing w:lineRule="auto" w:line="360"/>
        <w:jc w:val="center"/>
        <w:rPr>
          <w:rFonts w:eastAsia="PMingLiU"/>
          <w:lang w:eastAsia="en-US"/>
        </w:rPr>
      </w:pPr>
      <w:r>
        <w:rPr>
          <w:rFonts w:eastAsia="PMingLiU"/>
          <w:lang w:eastAsia="en-US"/>
        </w:rPr>
        <w:t>..................................................................................................................................................</w:t>
      </w:r>
    </w:p>
    <w:p>
      <w:pPr>
        <w:pStyle w:val="Normal"/>
        <w:widowControl w:val="false"/>
        <w:spacing w:lineRule="auto" w:line="360"/>
        <w:jc w:val="center"/>
        <w:rPr>
          <w:rFonts w:eastAsia="PMingLiU"/>
          <w:lang w:eastAsia="en-US"/>
        </w:rPr>
      </w:pPr>
      <w:r>
        <w:rPr>
          <w:rFonts w:eastAsia="PMingLiU"/>
          <w:lang w:eastAsia="en-US"/>
        </w:rPr>
        <w:t>във връзка с производството на продукт ............................................................................</w:t>
      </w:r>
    </w:p>
    <w:p>
      <w:pPr>
        <w:pStyle w:val="Normal"/>
        <w:widowControl w:val="false"/>
        <w:spacing w:lineRule="auto" w:line="360"/>
        <w:jc w:val="center"/>
        <w:rPr>
          <w:rFonts w:eastAsia="PMingLiU"/>
          <w:lang w:eastAsia="en-US"/>
        </w:rPr>
      </w:pPr>
      <w:r>
        <w:rPr>
          <w:rFonts w:eastAsia="PMingLiU"/>
          <w:lang w:eastAsia="en-US"/>
        </w:rPr>
        <w:t>..................................................................…………………………........................................</w:t>
      </w:r>
    </w:p>
    <w:p>
      <w:pPr>
        <w:pStyle w:val="Normal"/>
        <w:widowControl w:val="false"/>
        <w:spacing w:lineRule="auto" w:line="360" w:before="240" w:after="120"/>
        <w:jc w:val="center"/>
        <w:rPr>
          <w:rFonts w:eastAsia="PMingLiU"/>
          <w:b/>
          <w:b/>
          <w:caps/>
          <w:spacing w:val="90"/>
          <w:lang w:eastAsia="en-US"/>
        </w:rPr>
      </w:pPr>
      <w:r>
        <w:rPr>
          <w:rFonts w:eastAsia="PMingLiU"/>
          <w:b/>
          <w:caps/>
          <w:spacing w:val="90"/>
          <w:lang w:eastAsia="en-US"/>
        </w:rPr>
        <w:t>ДЕКЛАРИРАМ</w:t>
      </w:r>
    </w:p>
    <w:p>
      <w:pPr>
        <w:pStyle w:val="Normal"/>
        <w:widowControl w:val="false"/>
        <w:spacing w:lineRule="auto" w:line="360"/>
        <w:ind w:firstLine="720"/>
        <w:jc w:val="both"/>
        <w:rPr>
          <w:rFonts w:eastAsia="PMingLiU"/>
          <w:lang w:eastAsia="en-US"/>
        </w:rPr>
      </w:pPr>
      <w:r>
        <w:rPr>
          <w:rFonts w:eastAsia="PMingLiU"/>
          <w:lang w:eastAsia="en-US"/>
        </w:rPr>
        <w:t>Произвеждам продукта в съответствие с одобрената спецификация.</w:t>
      </w:r>
    </w:p>
    <w:p>
      <w:pPr>
        <w:pStyle w:val="Normal"/>
        <w:widowControl w:val="false"/>
        <w:spacing w:lineRule="auto" w:line="360"/>
        <w:ind w:firstLine="720"/>
        <w:jc w:val="both"/>
        <w:rPr>
          <w:rFonts w:eastAsia="PMingLiU"/>
          <w:lang w:eastAsia="en-US"/>
        </w:rPr>
      </w:pPr>
      <w:r>
        <w:rPr>
          <w:rFonts w:eastAsia="PMingLiU"/>
          <w:lang w:eastAsia="en-US"/>
        </w:rPr>
        <w:t>Обемът на производство на продукта за последните 3 календарни години е в размер на .......................... кг.</w:t>
      </w:r>
    </w:p>
    <w:p>
      <w:pPr>
        <w:pStyle w:val="Normal"/>
        <w:widowControl w:val="false"/>
        <w:spacing w:lineRule="auto" w:line="360"/>
        <w:ind w:firstLine="720"/>
        <w:jc w:val="both"/>
        <w:rPr>
          <w:rFonts w:eastAsia="PMingLiU"/>
          <w:lang w:eastAsia="en-US"/>
        </w:rPr>
      </w:pPr>
      <w:r>
        <w:rPr>
          <w:rFonts w:eastAsia="PMingLiU"/>
          <w:lang w:eastAsia="en-US"/>
        </w:rPr>
        <w:t>Произвеждам продукта в определения в спецификацията географски район (само за ЗНП/ЗГУ).</w:t>
      </w:r>
    </w:p>
    <w:p>
      <w:pPr>
        <w:pStyle w:val="Normal"/>
        <w:widowControl w:val="false"/>
        <w:spacing w:lineRule="auto" w:line="360"/>
        <w:ind w:firstLine="720"/>
        <w:jc w:val="both"/>
        <w:rPr>
          <w:rFonts w:eastAsia="PMingLiU"/>
          <w:lang w:eastAsia="en-US"/>
        </w:rPr>
      </w:pPr>
      <w:r>
        <w:rPr>
          <w:rFonts w:eastAsia="PMingLiU"/>
          <w:lang w:eastAsia="en-US"/>
        </w:rPr>
        <w:t>Известно ми е, че за деклариране на неверни обстоятелства нося наказателна отговорност по чл. 313 НК.</w:t>
      </w:r>
    </w:p>
    <w:p>
      <w:pPr>
        <w:pStyle w:val="Normal"/>
        <w:widowControl w:val="false"/>
        <w:spacing w:lineRule="auto" w:line="360"/>
        <w:ind w:firstLine="720"/>
        <w:jc w:val="both"/>
        <w:rPr>
          <w:rFonts w:eastAsia="PMingLiU"/>
          <w:lang w:eastAsia="en-US"/>
        </w:rPr>
      </w:pPr>
      <w:r>
        <w:rPr>
          <w:rFonts w:eastAsia="PMingLiU"/>
          <w:lang w:eastAsia="en-US"/>
        </w:rPr>
      </w:r>
    </w:p>
    <w:p>
      <w:pPr>
        <w:pStyle w:val="Normal"/>
        <w:widowControl w:val="false"/>
        <w:spacing w:lineRule="auto" w:line="360"/>
        <w:ind w:firstLine="720"/>
        <w:jc w:val="both"/>
        <w:rPr>
          <w:rFonts w:eastAsia="PMingLiU"/>
          <w:lang w:eastAsia="en-US"/>
        </w:rPr>
      </w:pPr>
      <w:r>
        <w:rPr>
          <w:rFonts w:eastAsia="PMingLiU"/>
          <w:lang w:eastAsia="en-US"/>
        </w:rPr>
      </w:r>
    </w:p>
    <w:p>
      <w:pPr>
        <w:pStyle w:val="Normal"/>
        <w:widowControl w:val="false"/>
        <w:spacing w:lineRule="auto" w:line="360"/>
        <w:ind w:firstLine="720"/>
        <w:jc w:val="both"/>
        <w:rPr>
          <w:rFonts w:eastAsia="PMingLiU"/>
          <w:lang w:eastAsia="en-US"/>
        </w:rPr>
      </w:pPr>
      <w:r>
        <w:rPr>
          <w:rFonts w:eastAsia="PMingLiU"/>
          <w:lang w:eastAsia="en-US"/>
        </w:rPr>
      </w:r>
    </w:p>
    <w:p>
      <w:pPr>
        <w:pStyle w:val="Normal"/>
        <w:widowControl w:val="false"/>
        <w:spacing w:lineRule="auto" w:line="360"/>
        <w:ind w:firstLine="720"/>
        <w:jc w:val="both"/>
        <w:rPr>
          <w:rFonts w:eastAsia="PMingLiU"/>
          <w:lang w:eastAsia="en-US"/>
        </w:rPr>
      </w:pPr>
      <w:r>
        <w:rPr>
          <w:rFonts w:eastAsia="PMingLiU"/>
          <w:lang w:eastAsia="en-US"/>
        </w:rPr>
      </w:r>
    </w:p>
    <w:p>
      <w:pPr>
        <w:pStyle w:val="Normal"/>
        <w:widowControl w:val="false"/>
        <w:spacing w:lineRule="auto" w:line="360"/>
        <w:ind w:firstLine="720"/>
        <w:jc w:val="both"/>
        <w:rPr>
          <w:rFonts w:eastAsia="PMingLiU"/>
          <w:lang w:eastAsia="en-US"/>
        </w:rPr>
      </w:pPr>
      <w:r>
        <w:rPr>
          <w:rFonts w:eastAsia="PMingLiU"/>
          <w:lang w:eastAsia="en-US"/>
        </w:rPr>
      </w:r>
    </w:p>
    <w:p>
      <w:pPr>
        <w:pStyle w:val="Normal"/>
        <w:widowControl w:val="false"/>
        <w:spacing w:lineRule="auto" w:line="360"/>
        <w:jc w:val="both"/>
        <w:rPr>
          <w:rFonts w:eastAsia="PMingLiU"/>
          <w:lang w:eastAsia="en-US"/>
        </w:rPr>
      </w:pPr>
      <w:r>
        <w:rPr>
          <w:rFonts w:eastAsia="PMingLiU"/>
          <w:lang w:eastAsia="en-US"/>
        </w:rPr>
        <w:t xml:space="preserve">Гр./с. </w:t>
        <w:tab/>
        <w:tab/>
        <w:tab/>
        <w:tab/>
        <w:tab/>
        <w:tab/>
        <w:tab/>
        <w:tab/>
        <w:t>ДЕКЛАРАТОР:</w:t>
      </w:r>
    </w:p>
    <w:p>
      <w:pPr>
        <w:pStyle w:val="Normal"/>
        <w:widowControl w:val="false"/>
        <w:spacing w:lineRule="auto" w:line="360"/>
        <w:jc w:val="both"/>
        <w:rPr>
          <w:rFonts w:eastAsia="Times New Roman"/>
          <w:b/>
          <w:b/>
          <w:bCs/>
          <w:lang w:eastAsia="en-US"/>
        </w:rPr>
      </w:pPr>
      <w:r>
        <w:rPr>
          <w:rFonts w:eastAsia="PMingLiU"/>
          <w:lang w:eastAsia="en-US"/>
        </w:rPr>
        <w:t xml:space="preserve">Дата:                                                                                       </w:t>
      </w:r>
    </w:p>
    <w:p>
      <w:pPr>
        <w:pStyle w:val="Normal"/>
        <w:spacing w:lineRule="auto" w:line="360"/>
        <w:rPr>
          <w:rFonts w:eastAsia="Times New Roman"/>
          <w:lang w:eastAsia="en-US"/>
        </w:rPr>
      </w:pPr>
      <w:r>
        <w:rPr>
          <w:rFonts w:eastAsia="Times New Roman"/>
          <w:lang w:eastAsia="en-US"/>
        </w:rPr>
      </w:r>
    </w:p>
    <w:p>
      <w:pPr>
        <w:pStyle w:val="Normal"/>
        <w:spacing w:lineRule="auto" w:line="360"/>
        <w:rPr>
          <w:rFonts w:eastAsia="Times New Roman"/>
          <w:lang w:eastAsia="en-US"/>
        </w:rPr>
      </w:pPr>
      <w:r>
        <w:rPr>
          <w:rFonts w:eastAsia="Times New Roman"/>
          <w:lang w:eastAsia="en-US"/>
        </w:rPr>
      </w:r>
    </w:p>
    <w:p>
      <w:pPr>
        <w:pStyle w:val="Normal"/>
        <w:widowControl w:val="false"/>
        <w:spacing w:lineRule="auto" w:line="360"/>
        <w:jc w:val="right"/>
        <w:rPr>
          <w:rFonts w:eastAsia="PMingLiU"/>
          <w:i/>
          <w:i/>
          <w:lang w:eastAsia="en-US"/>
        </w:rPr>
      </w:pPr>
      <w:r>
        <w:rPr>
          <w:rFonts w:eastAsia="PMingLiU"/>
          <w:i/>
          <w:lang w:eastAsia="en-US"/>
        </w:rPr>
      </w:r>
    </w:p>
    <w:p>
      <w:pPr>
        <w:pStyle w:val="Normal"/>
        <w:widowControl w:val="false"/>
        <w:spacing w:lineRule="auto" w:line="360"/>
        <w:jc w:val="right"/>
        <w:rPr>
          <w:rFonts w:eastAsia="PMingLiU"/>
          <w:i/>
          <w:i/>
          <w:lang w:eastAsia="en-US"/>
        </w:rPr>
      </w:pPr>
      <w:r>
        <w:rPr>
          <w:rFonts w:eastAsia="PMingLiU"/>
          <w:i/>
          <w:lang w:eastAsia="en-US"/>
        </w:rPr>
      </w:r>
    </w:p>
    <w:p>
      <w:pPr>
        <w:pStyle w:val="Normal"/>
        <w:widowControl w:val="false"/>
        <w:spacing w:lineRule="auto" w:line="360"/>
        <w:jc w:val="right"/>
        <w:rPr>
          <w:rFonts w:eastAsia="PMingLiU"/>
          <w:i/>
          <w:i/>
          <w:lang w:eastAsia="en-US"/>
        </w:rPr>
      </w:pPr>
      <w:r>
        <w:rPr>
          <w:rFonts w:eastAsia="PMingLiU"/>
          <w:i/>
          <w:lang w:eastAsia="en-US"/>
        </w:rPr>
      </w:r>
    </w:p>
    <w:p>
      <w:pPr>
        <w:pStyle w:val="Normal"/>
        <w:widowControl w:val="false"/>
        <w:spacing w:lineRule="auto" w:line="360"/>
        <w:jc w:val="right"/>
        <w:rPr>
          <w:rFonts w:eastAsia="PMingLiU"/>
          <w:i/>
          <w:i/>
          <w:lang w:eastAsia="en-US"/>
        </w:rPr>
      </w:pPr>
      <w:r>
        <w:rPr>
          <w:rFonts w:eastAsia="PMingLiU"/>
          <w:i/>
          <w:lang w:eastAsia="en-US"/>
        </w:rPr>
      </w:r>
    </w:p>
    <w:p>
      <w:pPr>
        <w:pStyle w:val="Normal"/>
        <w:widowControl w:val="false"/>
        <w:spacing w:lineRule="auto" w:line="360"/>
        <w:jc w:val="right"/>
        <w:rPr>
          <w:rFonts w:eastAsia="PMingLiU"/>
          <w:lang w:eastAsia="en-US"/>
        </w:rPr>
      </w:pPr>
      <w:r>
        <w:rPr>
          <w:rFonts w:eastAsia="PMingLiU"/>
          <w:lang w:eastAsia="en-US"/>
        </w:rPr>
        <w:t xml:space="preserve">Приложение № 3 </w:t>
        <w:br/>
        <w:t>към чл. 10, ал. 3 и чл. 29, ал. 3</w:t>
      </w:r>
    </w:p>
    <w:p>
      <w:pPr>
        <w:pStyle w:val="Normal"/>
        <w:widowControl w:val="false"/>
        <w:spacing w:lineRule="auto" w:line="360"/>
        <w:rPr>
          <w:rFonts w:eastAsia="PMingLiU"/>
          <w:lang w:eastAsia="en-US"/>
        </w:rPr>
      </w:pPr>
      <w:r>
        <w:rPr>
          <w:rFonts w:eastAsia="PMingLiU"/>
          <w:lang w:eastAsia="en-US"/>
        </w:rPr>
      </w:r>
    </w:p>
    <w:p>
      <w:pPr>
        <w:pStyle w:val="Normal"/>
        <w:widowControl w:val="false"/>
        <w:spacing w:lineRule="auto" w:line="360"/>
        <w:rPr>
          <w:rFonts w:eastAsia="PMingLiU"/>
          <w:lang w:eastAsia="en-US"/>
        </w:rPr>
      </w:pPr>
      <w:r>
        <w:rPr>
          <w:rFonts w:eastAsia="PMingLiU"/>
          <w:lang w:eastAsia="en-US"/>
        </w:rPr>
      </w:r>
    </w:p>
    <w:p>
      <w:pPr>
        <w:pStyle w:val="Normal"/>
        <w:widowControl w:val="false"/>
        <w:spacing w:lineRule="auto" w:line="360"/>
        <w:jc w:val="center"/>
        <w:rPr>
          <w:rFonts w:eastAsia="PMingLiU"/>
          <w:b/>
          <w:b/>
          <w:caps/>
          <w:spacing w:val="90"/>
          <w:lang w:eastAsia="en-US"/>
        </w:rPr>
      </w:pPr>
      <w:r>
        <w:rPr>
          <w:rFonts w:eastAsia="PMingLiU"/>
          <w:b/>
          <w:caps/>
          <w:spacing w:val="90"/>
          <w:lang w:eastAsia="en-US"/>
        </w:rPr>
        <w:t>КОНТРОЛЕН ЛИСТ</w:t>
      </w:r>
    </w:p>
    <w:p>
      <w:pPr>
        <w:pStyle w:val="Normal"/>
        <w:widowControl w:val="false"/>
        <w:spacing w:lineRule="auto" w:line="360"/>
        <w:jc w:val="center"/>
        <w:rPr>
          <w:rFonts w:eastAsia="PMingLiU"/>
          <w:highlight w:val="white"/>
          <w:lang w:eastAsia="en-US"/>
        </w:rPr>
      </w:pPr>
      <w:r>
        <w:rPr>
          <w:rFonts w:eastAsia="PMingLiU"/>
          <w:shd w:fill="FEFEFE" w:val="clear"/>
          <w:lang w:eastAsia="en-US"/>
        </w:rPr>
        <w:t>за оценка на условията за вписване в Европейския регистър на защитените наименования за произход и защитените географски указания/ Европейския регистър на храните с традиционно специфичен характер</w:t>
      </w:r>
    </w:p>
    <w:p>
      <w:pPr>
        <w:pStyle w:val="Normal"/>
        <w:widowControl w:val="false"/>
        <w:spacing w:lineRule="auto" w:line="360"/>
        <w:jc w:val="center"/>
        <w:rPr>
          <w:rFonts w:eastAsia="PMingLiU"/>
          <w:highlight w:val="white"/>
          <w:lang w:eastAsia="en-US"/>
        </w:rPr>
      </w:pPr>
      <w:r>
        <w:rPr>
          <w:rFonts w:eastAsia="PMingLiU"/>
          <w:shd w:fill="FEFEFE" w:val="clear"/>
          <w:lang w:eastAsia="en-US"/>
        </w:rPr>
      </w:r>
    </w:p>
    <w:p>
      <w:pPr>
        <w:pStyle w:val="Normal"/>
        <w:widowControl w:val="false"/>
        <w:spacing w:lineRule="auto" w:line="360"/>
        <w:jc w:val="center"/>
        <w:rPr>
          <w:rFonts w:eastAsia="PMingLiU"/>
          <w:highlight w:val="white"/>
          <w:lang w:eastAsia="en-US"/>
        </w:rPr>
      </w:pPr>
      <w:r>
        <w:rPr>
          <w:rFonts w:eastAsia="PMingLiU"/>
          <w:shd w:fill="FEFEFE" w:val="clear"/>
          <w:lang w:eastAsia="en-US"/>
        </w:rPr>
      </w:r>
    </w:p>
    <w:p>
      <w:pPr>
        <w:pStyle w:val="Normal"/>
        <w:widowControl w:val="false"/>
        <w:spacing w:lineRule="auto" w:line="360"/>
        <w:jc w:val="both"/>
        <w:rPr>
          <w:rFonts w:eastAsia="PMingLiU"/>
          <w:highlight w:val="white"/>
          <w:highlight w:val="white"/>
          <w:u w:val="single"/>
          <w:lang w:eastAsia="en-US"/>
        </w:rPr>
      </w:pPr>
      <w:r>
        <w:rPr>
          <w:rFonts w:eastAsia="PMingLiU"/>
          <w:highlight w:val="white"/>
          <w:u w:val="single"/>
          <w:shd w:fill="FEFEFE" w:val="clear"/>
          <w:lang w:eastAsia="en-US"/>
        </w:rPr>
        <w:t>ЧАСТ I - ОБЩА ИНФОРМАЦИЯ</w:t>
      </w:r>
    </w:p>
    <w:p>
      <w:pPr>
        <w:pStyle w:val="Normal"/>
        <w:widowControl w:val="false"/>
        <w:spacing w:lineRule="auto" w:line="360"/>
        <w:jc w:val="both"/>
        <w:rPr>
          <w:rFonts w:eastAsia="PMingLiU"/>
          <w:b/>
          <w:b/>
          <w:highlight w:val="white"/>
          <w:highlight w:val="white"/>
          <w:lang w:eastAsia="en-US"/>
        </w:rPr>
      </w:pPr>
      <w:r>
        <w:rPr>
          <w:rFonts w:eastAsia="PMingLiU"/>
          <w:shd w:fill="FEFEFE" w:val="clear"/>
          <w:lang w:eastAsia="en-US"/>
        </w:rPr>
        <w:t xml:space="preserve">1.1. Наименование на фирмата, отговорна за предприятието: </w:t>
      </w:r>
    </w:p>
    <w:p>
      <w:pPr>
        <w:pStyle w:val="Normal"/>
        <w:widowControl w:val="false"/>
        <w:spacing w:lineRule="auto" w:line="360"/>
        <w:jc w:val="both"/>
        <w:rPr>
          <w:rFonts w:eastAsia="PMingLiU"/>
          <w:b/>
          <w:b/>
          <w:highlight w:val="white"/>
          <w:lang w:eastAsia="en-US"/>
        </w:rPr>
      </w:pPr>
      <w:r>
        <w:rPr>
          <w:rFonts w:eastAsia="PMingLiU"/>
          <w:highlight w:val="white"/>
          <w:shd w:fill="FEFEFE" w:val="clear"/>
          <w:lang w:eastAsia="en-US"/>
        </w:rPr>
        <w:t>1.2. ЕИК, седалище и адрес на управление:</w:t>
      </w:r>
      <w:r>
        <w:rPr>
          <w:rFonts w:eastAsia="PMingLiU"/>
          <w:lang w:eastAsia="en-US"/>
        </w:rPr>
        <w:t xml:space="preserve"> </w:t>
      </w:r>
    </w:p>
    <w:p>
      <w:pPr>
        <w:pStyle w:val="Normal"/>
        <w:widowControl w:val="false"/>
        <w:spacing w:lineRule="auto" w:line="360"/>
        <w:jc w:val="both"/>
        <w:rPr>
          <w:rFonts w:eastAsia="PMingLiU"/>
          <w:b/>
          <w:b/>
          <w:highlight w:val="white"/>
          <w:lang w:eastAsia="en-US"/>
        </w:rPr>
      </w:pPr>
      <w:r>
        <w:rPr>
          <w:rFonts w:eastAsia="PMingLiU"/>
          <w:highlight w:val="white"/>
          <w:shd w:fill="FEFEFE" w:val="clear"/>
          <w:lang w:eastAsia="en-US"/>
        </w:rPr>
        <w:t xml:space="preserve">1.3. Адрес на обекта: </w:t>
      </w:r>
    </w:p>
    <w:p>
      <w:pPr>
        <w:pStyle w:val="Normal"/>
        <w:widowControl w:val="false"/>
        <w:spacing w:lineRule="auto" w:line="360"/>
        <w:jc w:val="both"/>
        <w:rPr>
          <w:rFonts w:eastAsia="PMingLiU"/>
          <w:b/>
          <w:b/>
          <w:highlight w:val="white"/>
          <w:lang w:eastAsia="en-US"/>
        </w:rPr>
      </w:pPr>
      <w:r>
        <w:rPr>
          <w:rFonts w:eastAsia="PMingLiU"/>
          <w:highlight w:val="white"/>
          <w:shd w:fill="FEFEFE" w:val="clear"/>
          <w:lang w:eastAsia="en-US"/>
        </w:rPr>
        <w:t xml:space="preserve">1.4. Наименование на продукта: </w:t>
      </w:r>
    </w:p>
    <w:p>
      <w:pPr>
        <w:pStyle w:val="Normal"/>
        <w:widowControl w:val="false"/>
        <w:spacing w:lineRule="auto" w:line="360"/>
        <w:jc w:val="both"/>
        <w:rPr>
          <w:rFonts w:eastAsia="PMingLiU"/>
          <w:b/>
          <w:b/>
          <w:highlight w:val="white"/>
          <w:highlight w:val="white"/>
          <w:lang w:eastAsia="en-US"/>
        </w:rPr>
      </w:pPr>
      <w:r>
        <w:rPr>
          <w:rFonts w:eastAsia="PMingLiU"/>
          <w:highlight w:val="white"/>
          <w:shd w:fill="FEFEFE" w:val="clear"/>
          <w:lang w:eastAsia="en-US"/>
        </w:rPr>
        <w:t xml:space="preserve">1.5. Контролиращо лице: </w:t>
      </w:r>
    </w:p>
    <w:p>
      <w:pPr>
        <w:pStyle w:val="Normal"/>
        <w:widowControl w:val="false"/>
        <w:spacing w:lineRule="auto" w:line="360"/>
        <w:jc w:val="both"/>
        <w:rPr>
          <w:rFonts w:eastAsia="PMingLiU"/>
          <w:b/>
          <w:b/>
          <w:highlight w:val="white"/>
          <w:lang w:eastAsia="en-US"/>
        </w:rPr>
      </w:pPr>
      <w:r>
        <w:rPr>
          <w:rFonts w:eastAsia="PMingLiU"/>
          <w:highlight w:val="white"/>
          <w:shd w:fill="FEFEFE" w:val="clear"/>
          <w:lang w:eastAsia="en-US"/>
        </w:rPr>
        <w:t>1.6. Вид на инспекцията</w:t>
      </w:r>
      <w:r>
        <w:rPr>
          <w:rFonts w:eastAsia="PMingLiU"/>
          <w:shd w:fill="FEFEFE" w:val="clear"/>
          <w:lang w:eastAsia="en-US"/>
        </w:rPr>
        <w:t>:</w:t>
      </w:r>
      <w:r>
        <w:rPr>
          <w:rFonts w:eastAsia="PMingLiU"/>
          <w:lang w:eastAsia="en-US"/>
        </w:rPr>
        <w:t xml:space="preserve"> </w:t>
      </w:r>
      <w:r>
        <w:rPr>
          <w:rFonts w:eastAsia="PMingLiU"/>
          <w:shd w:fill="FEFEFE" w:val="clear"/>
          <w:lang w:eastAsia="en-US"/>
        </w:rPr>
        <w:t>първоначална/планова/извънпланова (тематична, по сигнал/жалба)</w:t>
      </w:r>
    </w:p>
    <w:p>
      <w:pPr>
        <w:pStyle w:val="Normal"/>
        <w:widowControl w:val="false"/>
        <w:spacing w:lineRule="auto" w:line="360"/>
        <w:jc w:val="both"/>
        <w:rPr>
          <w:rFonts w:eastAsia="PMingLiU"/>
          <w:highlight w:val="white"/>
          <w:highlight w:val="white"/>
          <w:lang w:eastAsia="en-US"/>
        </w:rPr>
      </w:pPr>
      <w:r>
        <w:rPr>
          <w:rFonts w:eastAsia="PMingLiU"/>
          <w:highlight w:val="white"/>
          <w:shd w:fill="FEFEFE" w:val="clear"/>
          <w:lang w:eastAsia="en-US"/>
        </w:rPr>
        <w:t xml:space="preserve">1.7. Дата на извършване на проверката: </w:t>
      </w:r>
    </w:p>
    <w:p>
      <w:pPr>
        <w:pStyle w:val="Normal"/>
        <w:widowControl w:val="false"/>
        <w:spacing w:lineRule="auto" w:line="360"/>
        <w:jc w:val="both"/>
        <w:rPr>
          <w:rFonts w:eastAsia="PMingLiU"/>
          <w:b/>
          <w:b/>
          <w:highlight w:val="white"/>
          <w:highlight w:val="white"/>
          <w:lang w:eastAsia="en-US"/>
        </w:rPr>
      </w:pPr>
      <w:r>
        <w:rPr>
          <w:rFonts w:eastAsia="PMingLiU"/>
          <w:b/>
          <w:highlight w:val="white"/>
          <w:shd w:fill="FEFEFE" w:val="clear"/>
          <w:lang w:eastAsia="en-US"/>
        </w:rPr>
      </w:r>
    </w:p>
    <w:p>
      <w:pPr>
        <w:pStyle w:val="Normal"/>
        <w:widowControl w:val="false"/>
        <w:spacing w:lineRule="auto" w:line="360"/>
        <w:rPr>
          <w:rFonts w:eastAsia="PMingLiU"/>
          <w:lang w:eastAsia="en-US"/>
        </w:rPr>
      </w:pPr>
      <w:r>
        <w:rPr>
          <w:rFonts w:eastAsia="PMingLiU"/>
          <w:highlight w:val="white"/>
          <w:u w:val="single"/>
          <w:shd w:fill="FEFEFE" w:val="clear"/>
          <w:lang w:eastAsia="en-US"/>
        </w:rPr>
        <w:t>ЧАСТ ІІ - ПРОВЕРКА НА ДОКУМЕНТИТЕ И НА ГОТОВНОСТТА ЗА ПРОИЗВОДСТВО НА ПРОДУКТА В СЪОТВЕТСТВИЕ С ОДОБРЕНАТА СПЕЦИФИКАЦИЯ</w:t>
      </w:r>
    </w:p>
    <w:tbl>
      <w:tblPr>
        <w:tblW w:w="9038"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60" w:type="dxa"/>
          <w:left w:w="-10" w:type="dxa"/>
          <w:bottom w:w="0" w:type="dxa"/>
          <w:right w:w="0" w:type="dxa"/>
        </w:tblCellMar>
        <w:tblLook w:noVBand="0" w:val="0000" w:noHBand="0" w:lastColumn="0" w:firstColumn="0" w:lastRow="0" w:firstRow="0"/>
      </w:tblPr>
      <w:tblGrid>
        <w:gridCol w:w="7441"/>
        <w:gridCol w:w="810"/>
        <w:gridCol w:w="787"/>
      </w:tblGrid>
      <w:tr>
        <w:trPr>
          <w:trHeight w:val="60" w:hRule="atLeast"/>
        </w:trPr>
        <w:tc>
          <w:tcPr>
            <w:tcW w:w="74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EFEFE" w:val="clear"/>
            <w:vAlign w:val="center"/>
          </w:tcPr>
          <w:p>
            <w:pPr>
              <w:pStyle w:val="Normal"/>
              <w:widowControl w:val="false"/>
              <w:spacing w:lineRule="auto" w:line="360"/>
              <w:ind w:left="144" w:right="144" w:hanging="0"/>
              <w:rPr>
                <w:rFonts w:eastAsia="PMingLiU"/>
                <w:highlight w:val="white"/>
                <w:highlight w:val="white"/>
                <w:lang w:eastAsia="en-US"/>
              </w:rPr>
            </w:pPr>
            <w:r>
              <w:rPr>
                <w:rFonts w:eastAsia="PMingLiU"/>
                <w:highlight w:val="white"/>
                <w:shd w:fill="FEFEFE" w:val="clear"/>
                <w:lang w:eastAsia="en-US"/>
              </w:rPr>
              <w:t>2.1. Налична ли е технологична документация, коректно попълвани дневници и друга относима документация, показваща етапите на производство на продукта?</w:t>
            </w:r>
          </w:p>
        </w:tc>
        <w:tc>
          <w:tcPr>
            <w:tcW w:w="810" w:type="dxa"/>
            <w:tcBorders>
              <w:top w:val="single" w:sz="8" w:space="0" w:color="000000"/>
              <w:bottom w:val="single" w:sz="8" w:space="0" w:color="000000"/>
              <w:right w:val="single" w:sz="8" w:space="0" w:color="000000"/>
              <w:insideH w:val="single" w:sz="8" w:space="0" w:color="000000"/>
              <w:insideV w:val="single" w:sz="8" w:space="0" w:color="000000"/>
            </w:tcBorders>
            <w:shd w:color="auto" w:fill="FEFEFE" w:val="clear"/>
            <w:vAlign w:val="center"/>
          </w:tcPr>
          <w:p>
            <w:pPr>
              <w:pStyle w:val="Normal"/>
              <w:widowControl w:val="false"/>
              <w:spacing w:lineRule="auto" w:line="360"/>
              <w:jc w:val="center"/>
              <w:rPr>
                <w:rFonts w:eastAsia="PMingLiU"/>
                <w:highlight w:val="white"/>
                <w:highlight w:val="white"/>
                <w:lang w:eastAsia="en-US"/>
              </w:rPr>
            </w:pPr>
            <w:r>
              <w:rPr>
                <w:rFonts w:eastAsia="Wingdings" w:cs="Wingdings" w:ascii="Wingdings" w:hAnsi="Wingdings"/>
                <w:highlight w:val="white"/>
                <w:shd w:fill="FEFEFE" w:val="clear"/>
                <w:lang w:eastAsia="en-US"/>
              </w:rPr>
              <w:t></w:t>
            </w:r>
            <w:r>
              <w:rPr>
                <w:rFonts w:eastAsia="PMingLiU"/>
                <w:highlight w:val="white"/>
                <w:shd w:fill="FEFEFE" w:val="clear"/>
                <w:lang w:eastAsia="en-US"/>
              </w:rPr>
              <w:t xml:space="preserve"> </w:t>
            </w:r>
            <w:r>
              <w:rPr>
                <w:rFonts w:eastAsia="PMingLiU"/>
                <w:highlight w:val="white"/>
                <w:shd w:fill="FEFEFE" w:val="clear"/>
                <w:lang w:eastAsia="en-US"/>
              </w:rPr>
              <w:t>Да</w:t>
            </w:r>
          </w:p>
        </w:tc>
        <w:tc>
          <w:tcPr>
            <w:tcW w:w="787" w:type="dxa"/>
            <w:tcBorders>
              <w:top w:val="single" w:sz="8" w:space="0" w:color="000000"/>
              <w:bottom w:val="single" w:sz="8" w:space="0" w:color="000000"/>
              <w:right w:val="single" w:sz="8" w:space="0" w:color="000000"/>
              <w:insideH w:val="single" w:sz="8" w:space="0" w:color="000000"/>
              <w:insideV w:val="single" w:sz="8" w:space="0" w:color="000000"/>
            </w:tcBorders>
            <w:shd w:color="auto" w:fill="FEFEFE" w:val="clear"/>
            <w:vAlign w:val="center"/>
          </w:tcPr>
          <w:p>
            <w:pPr>
              <w:pStyle w:val="Normal"/>
              <w:widowControl w:val="false"/>
              <w:spacing w:lineRule="auto" w:line="360"/>
              <w:jc w:val="center"/>
              <w:rPr>
                <w:rFonts w:eastAsia="PMingLiU"/>
                <w:highlight w:val="white"/>
                <w:highlight w:val="white"/>
                <w:lang w:eastAsia="en-US"/>
              </w:rPr>
            </w:pPr>
            <w:r>
              <w:rPr>
                <w:rFonts w:eastAsia="Wingdings" w:cs="Wingdings" w:ascii="Wingdings" w:hAnsi="Wingdings"/>
                <w:highlight w:val="white"/>
                <w:shd w:fill="FEFEFE" w:val="clear"/>
                <w:lang w:eastAsia="en-US"/>
              </w:rPr>
              <w:t></w:t>
            </w:r>
            <w:r>
              <w:rPr>
                <w:rFonts w:eastAsia="PMingLiU"/>
                <w:highlight w:val="white"/>
                <w:shd w:fill="FEFEFE" w:val="clear"/>
                <w:lang w:eastAsia="en-US"/>
              </w:rPr>
              <w:t xml:space="preserve"> </w:t>
            </w:r>
            <w:r>
              <w:rPr>
                <w:rFonts w:eastAsia="PMingLiU"/>
                <w:highlight w:val="white"/>
                <w:shd w:fill="FEFEFE" w:val="clear"/>
                <w:lang w:eastAsia="en-US"/>
              </w:rPr>
              <w:t>Не</w:t>
            </w:r>
          </w:p>
        </w:tc>
      </w:tr>
      <w:tr>
        <w:trPr>
          <w:trHeight w:val="60" w:hRule="atLeast"/>
        </w:trPr>
        <w:tc>
          <w:tcPr>
            <w:tcW w:w="7441" w:type="dxa"/>
            <w:tcBorders>
              <w:left w:val="single" w:sz="8" w:space="0" w:color="000000"/>
              <w:bottom w:val="single" w:sz="8" w:space="0" w:color="000000"/>
              <w:right w:val="single" w:sz="8" w:space="0" w:color="000000"/>
              <w:insideH w:val="single" w:sz="8" w:space="0" w:color="000000"/>
              <w:insideV w:val="single" w:sz="8" w:space="0" w:color="000000"/>
            </w:tcBorders>
            <w:shd w:color="auto" w:fill="FEFEFE" w:val="clear"/>
            <w:vAlign w:val="center"/>
          </w:tcPr>
          <w:p>
            <w:pPr>
              <w:pStyle w:val="Normal"/>
              <w:widowControl w:val="false"/>
              <w:spacing w:lineRule="auto" w:line="360"/>
              <w:ind w:left="144" w:right="144" w:hanging="0"/>
              <w:rPr>
                <w:rFonts w:eastAsia="PMingLiU"/>
                <w:highlight w:val="white"/>
                <w:highlight w:val="white"/>
                <w:lang w:eastAsia="en-US"/>
              </w:rPr>
            </w:pPr>
            <w:r>
              <w:rPr>
                <w:rFonts w:eastAsia="PMingLiU"/>
                <w:highlight w:val="white"/>
                <w:shd w:fill="FEFEFE" w:val="clear"/>
                <w:lang w:eastAsia="en-US"/>
              </w:rPr>
              <w:t>2.2. Наличното технологично оборудване позволява ли производството на продукта?</w:t>
            </w:r>
          </w:p>
        </w:tc>
        <w:tc>
          <w:tcPr>
            <w:tcW w:w="810" w:type="dxa"/>
            <w:tcBorders>
              <w:bottom w:val="single" w:sz="8" w:space="0" w:color="000000"/>
              <w:right w:val="single" w:sz="8" w:space="0" w:color="000000"/>
              <w:insideH w:val="single" w:sz="8" w:space="0" w:color="000000"/>
              <w:insideV w:val="single" w:sz="8" w:space="0" w:color="000000"/>
            </w:tcBorders>
            <w:shd w:color="auto" w:fill="FEFEFE" w:val="clear"/>
            <w:vAlign w:val="center"/>
          </w:tcPr>
          <w:p>
            <w:pPr>
              <w:pStyle w:val="Normal"/>
              <w:widowControl w:val="false"/>
              <w:spacing w:lineRule="auto" w:line="360"/>
              <w:jc w:val="center"/>
              <w:rPr>
                <w:rFonts w:eastAsia="PMingLiU"/>
                <w:highlight w:val="white"/>
                <w:highlight w:val="white"/>
                <w:lang w:eastAsia="en-US"/>
              </w:rPr>
            </w:pPr>
            <w:r>
              <w:rPr>
                <w:rFonts w:eastAsia="Wingdings" w:cs="Wingdings" w:ascii="Wingdings" w:hAnsi="Wingdings"/>
                <w:highlight w:val="white"/>
                <w:shd w:fill="FEFEFE" w:val="clear"/>
                <w:lang w:eastAsia="en-US"/>
              </w:rPr>
              <w:t></w:t>
            </w:r>
            <w:r>
              <w:rPr>
                <w:rFonts w:eastAsia="PMingLiU"/>
                <w:highlight w:val="white"/>
                <w:shd w:fill="FEFEFE" w:val="clear"/>
                <w:lang w:eastAsia="en-US"/>
              </w:rPr>
              <w:t xml:space="preserve"> </w:t>
            </w:r>
            <w:r>
              <w:rPr>
                <w:rFonts w:eastAsia="PMingLiU"/>
                <w:highlight w:val="white"/>
                <w:shd w:fill="FEFEFE" w:val="clear"/>
                <w:lang w:eastAsia="en-US"/>
              </w:rPr>
              <w:t>Да</w:t>
            </w:r>
          </w:p>
        </w:tc>
        <w:tc>
          <w:tcPr>
            <w:tcW w:w="787" w:type="dxa"/>
            <w:tcBorders>
              <w:bottom w:val="single" w:sz="8" w:space="0" w:color="000000"/>
              <w:right w:val="single" w:sz="8" w:space="0" w:color="000000"/>
              <w:insideH w:val="single" w:sz="8" w:space="0" w:color="000000"/>
              <w:insideV w:val="single" w:sz="8" w:space="0" w:color="000000"/>
            </w:tcBorders>
            <w:shd w:color="auto" w:fill="FEFEFE" w:val="clear"/>
            <w:vAlign w:val="center"/>
          </w:tcPr>
          <w:p>
            <w:pPr>
              <w:pStyle w:val="Normal"/>
              <w:widowControl w:val="false"/>
              <w:spacing w:lineRule="auto" w:line="360"/>
              <w:jc w:val="center"/>
              <w:rPr>
                <w:rFonts w:eastAsia="PMingLiU"/>
                <w:highlight w:val="white"/>
                <w:highlight w:val="white"/>
                <w:lang w:eastAsia="en-US"/>
              </w:rPr>
            </w:pPr>
            <w:r>
              <w:rPr>
                <w:rFonts w:eastAsia="Wingdings" w:cs="Wingdings" w:ascii="Wingdings" w:hAnsi="Wingdings"/>
                <w:highlight w:val="white"/>
                <w:shd w:fill="FEFEFE" w:val="clear"/>
                <w:lang w:eastAsia="en-US"/>
              </w:rPr>
              <w:t></w:t>
            </w:r>
            <w:r>
              <w:rPr>
                <w:rFonts w:eastAsia="PMingLiU"/>
                <w:highlight w:val="white"/>
                <w:shd w:fill="FEFEFE" w:val="clear"/>
                <w:lang w:eastAsia="en-US"/>
              </w:rPr>
              <w:t xml:space="preserve"> </w:t>
            </w:r>
            <w:r>
              <w:rPr>
                <w:rFonts w:eastAsia="PMingLiU"/>
                <w:highlight w:val="white"/>
                <w:shd w:fill="FEFEFE" w:val="clear"/>
                <w:lang w:eastAsia="en-US"/>
              </w:rPr>
              <w:t>Не</w:t>
            </w:r>
          </w:p>
        </w:tc>
      </w:tr>
      <w:tr>
        <w:trPr>
          <w:trHeight w:val="60" w:hRule="atLeast"/>
        </w:trPr>
        <w:tc>
          <w:tcPr>
            <w:tcW w:w="7441" w:type="dxa"/>
            <w:tcBorders>
              <w:left w:val="single" w:sz="8" w:space="0" w:color="000000"/>
              <w:bottom w:val="single" w:sz="8" w:space="0" w:color="000000"/>
              <w:right w:val="single" w:sz="8" w:space="0" w:color="000000"/>
              <w:insideH w:val="single" w:sz="8" w:space="0" w:color="000000"/>
              <w:insideV w:val="single" w:sz="8" w:space="0" w:color="000000"/>
            </w:tcBorders>
            <w:shd w:color="auto" w:fill="FEFEFE" w:val="clear"/>
            <w:vAlign w:val="center"/>
          </w:tcPr>
          <w:p>
            <w:pPr>
              <w:pStyle w:val="Normal"/>
              <w:widowControl w:val="false"/>
              <w:spacing w:lineRule="auto" w:line="360"/>
              <w:ind w:left="144" w:right="144" w:hanging="0"/>
              <w:rPr>
                <w:rFonts w:eastAsia="PMingLiU"/>
                <w:highlight w:val="white"/>
                <w:highlight w:val="white"/>
                <w:lang w:eastAsia="en-US"/>
              </w:rPr>
            </w:pPr>
            <w:r>
              <w:rPr>
                <w:rFonts w:eastAsia="PMingLiU"/>
                <w:highlight w:val="white"/>
                <w:shd w:fill="FEFEFE" w:val="clear"/>
                <w:lang w:eastAsia="en-US"/>
              </w:rPr>
              <w:t>2.3. Наличните човешки ресурси достатъчно ли са за производството на продукта в съответствие със спецификацията?</w:t>
            </w:r>
          </w:p>
        </w:tc>
        <w:tc>
          <w:tcPr>
            <w:tcW w:w="810" w:type="dxa"/>
            <w:tcBorders>
              <w:bottom w:val="single" w:sz="8" w:space="0" w:color="000000"/>
              <w:right w:val="single" w:sz="8" w:space="0" w:color="000000"/>
              <w:insideH w:val="single" w:sz="8" w:space="0" w:color="000000"/>
              <w:insideV w:val="single" w:sz="8" w:space="0" w:color="000000"/>
            </w:tcBorders>
            <w:shd w:color="auto" w:fill="FEFEFE" w:val="clear"/>
            <w:vAlign w:val="center"/>
          </w:tcPr>
          <w:p>
            <w:pPr>
              <w:pStyle w:val="Normal"/>
              <w:widowControl w:val="false"/>
              <w:spacing w:lineRule="auto" w:line="360"/>
              <w:jc w:val="center"/>
              <w:rPr>
                <w:rFonts w:eastAsia="PMingLiU"/>
                <w:highlight w:val="white"/>
                <w:highlight w:val="white"/>
                <w:lang w:eastAsia="en-US"/>
              </w:rPr>
            </w:pPr>
            <w:r>
              <w:rPr>
                <w:rFonts w:eastAsia="Wingdings" w:cs="Wingdings" w:ascii="Wingdings" w:hAnsi="Wingdings"/>
                <w:highlight w:val="white"/>
                <w:shd w:fill="FEFEFE" w:val="clear"/>
                <w:lang w:eastAsia="en-US"/>
              </w:rPr>
              <w:t></w:t>
            </w:r>
            <w:r>
              <w:rPr>
                <w:rFonts w:eastAsia="PMingLiU"/>
                <w:highlight w:val="white"/>
                <w:shd w:fill="FEFEFE" w:val="clear"/>
                <w:lang w:eastAsia="en-US"/>
              </w:rPr>
              <w:t xml:space="preserve"> </w:t>
            </w:r>
            <w:r>
              <w:rPr>
                <w:rFonts w:eastAsia="PMingLiU"/>
                <w:highlight w:val="white"/>
                <w:shd w:fill="FEFEFE" w:val="clear"/>
                <w:lang w:eastAsia="en-US"/>
              </w:rPr>
              <w:t>Да</w:t>
            </w:r>
          </w:p>
        </w:tc>
        <w:tc>
          <w:tcPr>
            <w:tcW w:w="787" w:type="dxa"/>
            <w:tcBorders>
              <w:bottom w:val="single" w:sz="8" w:space="0" w:color="000000"/>
              <w:right w:val="single" w:sz="8" w:space="0" w:color="000000"/>
              <w:insideH w:val="single" w:sz="8" w:space="0" w:color="000000"/>
              <w:insideV w:val="single" w:sz="8" w:space="0" w:color="000000"/>
            </w:tcBorders>
            <w:shd w:color="auto" w:fill="FEFEFE" w:val="clear"/>
            <w:vAlign w:val="center"/>
          </w:tcPr>
          <w:p>
            <w:pPr>
              <w:pStyle w:val="Normal"/>
              <w:widowControl w:val="false"/>
              <w:spacing w:lineRule="auto" w:line="360"/>
              <w:jc w:val="center"/>
              <w:rPr>
                <w:rFonts w:eastAsia="PMingLiU"/>
                <w:highlight w:val="white"/>
                <w:highlight w:val="white"/>
                <w:lang w:eastAsia="en-US"/>
              </w:rPr>
            </w:pPr>
            <w:r>
              <w:rPr>
                <w:rFonts w:eastAsia="Wingdings" w:cs="Wingdings" w:ascii="Wingdings" w:hAnsi="Wingdings"/>
                <w:highlight w:val="white"/>
                <w:shd w:fill="FEFEFE" w:val="clear"/>
                <w:lang w:eastAsia="en-US"/>
              </w:rPr>
              <w:t></w:t>
            </w:r>
            <w:r>
              <w:rPr>
                <w:rFonts w:eastAsia="PMingLiU"/>
                <w:highlight w:val="white"/>
                <w:shd w:fill="FEFEFE" w:val="clear"/>
                <w:lang w:eastAsia="en-US"/>
              </w:rPr>
              <w:t xml:space="preserve"> </w:t>
            </w:r>
            <w:r>
              <w:rPr>
                <w:rFonts w:eastAsia="PMingLiU"/>
                <w:highlight w:val="white"/>
                <w:shd w:fill="FEFEFE" w:val="clear"/>
                <w:lang w:eastAsia="en-US"/>
              </w:rPr>
              <w:t>Не</w:t>
            </w:r>
          </w:p>
        </w:tc>
      </w:tr>
      <w:tr>
        <w:trPr>
          <w:trHeight w:val="60" w:hRule="atLeast"/>
        </w:trPr>
        <w:tc>
          <w:tcPr>
            <w:tcW w:w="7441" w:type="dxa"/>
            <w:tcBorders>
              <w:left w:val="single" w:sz="8" w:space="0" w:color="000000"/>
              <w:bottom w:val="single" w:sz="8" w:space="0" w:color="000000"/>
              <w:right w:val="single" w:sz="8" w:space="0" w:color="000000"/>
              <w:insideH w:val="single" w:sz="8" w:space="0" w:color="000000"/>
              <w:insideV w:val="single" w:sz="8" w:space="0" w:color="000000"/>
            </w:tcBorders>
            <w:shd w:color="auto" w:fill="FEFEFE" w:val="clear"/>
            <w:vAlign w:val="center"/>
          </w:tcPr>
          <w:p>
            <w:pPr>
              <w:pStyle w:val="Normal"/>
              <w:widowControl w:val="false"/>
              <w:spacing w:lineRule="auto" w:line="360"/>
              <w:ind w:left="144" w:right="144" w:hanging="0"/>
              <w:rPr>
                <w:rFonts w:eastAsia="PMingLiU"/>
                <w:highlight w:val="white"/>
                <w:highlight w:val="white"/>
                <w:lang w:eastAsia="en-US"/>
              </w:rPr>
            </w:pPr>
            <w:r>
              <w:rPr>
                <w:rFonts w:eastAsia="PMingLiU"/>
                <w:highlight w:val="white"/>
                <w:shd w:fill="FEFEFE" w:val="clear"/>
                <w:lang w:eastAsia="en-US"/>
              </w:rPr>
              <w:t>2.4. Налице ли са подходящи, достатъчно големи помещения за обработка и съхранение, с регулируема, подходяща за храните температура, която да може да се наблюдава и ако е необходимо, записва?</w:t>
            </w:r>
          </w:p>
        </w:tc>
        <w:tc>
          <w:tcPr>
            <w:tcW w:w="810" w:type="dxa"/>
            <w:tcBorders>
              <w:bottom w:val="single" w:sz="8" w:space="0" w:color="000000"/>
              <w:right w:val="single" w:sz="8" w:space="0" w:color="000000"/>
              <w:insideH w:val="single" w:sz="8" w:space="0" w:color="000000"/>
              <w:insideV w:val="single" w:sz="8" w:space="0" w:color="000000"/>
            </w:tcBorders>
            <w:shd w:color="auto" w:fill="FEFEFE" w:val="clear"/>
            <w:vAlign w:val="center"/>
          </w:tcPr>
          <w:p>
            <w:pPr>
              <w:pStyle w:val="Normal"/>
              <w:widowControl w:val="false"/>
              <w:spacing w:lineRule="auto" w:line="360"/>
              <w:jc w:val="center"/>
              <w:rPr>
                <w:rFonts w:eastAsia="PMingLiU"/>
                <w:highlight w:val="white"/>
                <w:highlight w:val="white"/>
                <w:lang w:eastAsia="en-US"/>
              </w:rPr>
            </w:pPr>
            <w:r>
              <w:rPr>
                <w:rFonts w:eastAsia="Wingdings" w:cs="Wingdings" w:ascii="Wingdings" w:hAnsi="Wingdings"/>
                <w:highlight w:val="white"/>
                <w:shd w:fill="FEFEFE" w:val="clear"/>
                <w:lang w:eastAsia="en-US"/>
              </w:rPr>
              <w:t></w:t>
            </w:r>
            <w:r>
              <w:rPr>
                <w:rFonts w:eastAsia="PMingLiU"/>
                <w:highlight w:val="white"/>
                <w:shd w:fill="FEFEFE" w:val="clear"/>
                <w:lang w:eastAsia="en-US"/>
              </w:rPr>
              <w:t xml:space="preserve"> </w:t>
            </w:r>
            <w:r>
              <w:rPr>
                <w:rFonts w:eastAsia="PMingLiU"/>
                <w:highlight w:val="white"/>
                <w:shd w:fill="FEFEFE" w:val="clear"/>
                <w:lang w:eastAsia="en-US"/>
              </w:rPr>
              <w:t>Да</w:t>
            </w:r>
          </w:p>
        </w:tc>
        <w:tc>
          <w:tcPr>
            <w:tcW w:w="787" w:type="dxa"/>
            <w:tcBorders>
              <w:bottom w:val="single" w:sz="8" w:space="0" w:color="000000"/>
              <w:right w:val="single" w:sz="8" w:space="0" w:color="000000"/>
              <w:insideH w:val="single" w:sz="8" w:space="0" w:color="000000"/>
              <w:insideV w:val="single" w:sz="8" w:space="0" w:color="000000"/>
            </w:tcBorders>
            <w:shd w:color="auto" w:fill="FEFEFE" w:val="clear"/>
            <w:vAlign w:val="center"/>
          </w:tcPr>
          <w:p>
            <w:pPr>
              <w:pStyle w:val="Normal"/>
              <w:widowControl w:val="false"/>
              <w:spacing w:lineRule="auto" w:line="360"/>
              <w:jc w:val="center"/>
              <w:rPr>
                <w:rFonts w:eastAsia="PMingLiU"/>
                <w:highlight w:val="white"/>
                <w:highlight w:val="white"/>
                <w:lang w:eastAsia="en-US"/>
              </w:rPr>
            </w:pPr>
            <w:r>
              <w:rPr>
                <w:rFonts w:eastAsia="Wingdings" w:cs="Wingdings" w:ascii="Wingdings" w:hAnsi="Wingdings"/>
                <w:highlight w:val="white"/>
                <w:shd w:fill="FEFEFE" w:val="clear"/>
                <w:lang w:eastAsia="en-US"/>
              </w:rPr>
              <w:t></w:t>
            </w:r>
            <w:r>
              <w:rPr>
                <w:rFonts w:eastAsia="PMingLiU"/>
                <w:highlight w:val="white"/>
                <w:shd w:fill="FEFEFE" w:val="clear"/>
                <w:lang w:eastAsia="en-US"/>
              </w:rPr>
              <w:t xml:space="preserve"> </w:t>
            </w:r>
            <w:r>
              <w:rPr>
                <w:rFonts w:eastAsia="PMingLiU"/>
                <w:highlight w:val="white"/>
                <w:shd w:fill="FEFEFE" w:val="clear"/>
                <w:lang w:eastAsia="en-US"/>
              </w:rPr>
              <w:t>Не</w:t>
            </w:r>
          </w:p>
        </w:tc>
      </w:tr>
      <w:tr>
        <w:trPr>
          <w:trHeight w:val="60" w:hRule="atLeast"/>
        </w:trPr>
        <w:tc>
          <w:tcPr>
            <w:tcW w:w="7441" w:type="dxa"/>
            <w:tcBorders>
              <w:left w:val="single" w:sz="8" w:space="0" w:color="000000"/>
              <w:bottom w:val="single" w:sz="8" w:space="0" w:color="000000"/>
              <w:right w:val="single" w:sz="8" w:space="0" w:color="000000"/>
              <w:insideH w:val="single" w:sz="8" w:space="0" w:color="000000"/>
              <w:insideV w:val="single" w:sz="8" w:space="0" w:color="000000"/>
            </w:tcBorders>
            <w:shd w:color="auto" w:fill="FEFEFE" w:val="clear"/>
            <w:vAlign w:val="center"/>
          </w:tcPr>
          <w:p>
            <w:pPr>
              <w:pStyle w:val="Normal"/>
              <w:widowControl w:val="false"/>
              <w:spacing w:lineRule="auto" w:line="360"/>
              <w:ind w:left="144" w:right="144" w:hanging="0"/>
              <w:rPr>
                <w:rFonts w:eastAsia="PMingLiU"/>
                <w:highlight w:val="white"/>
                <w:highlight w:val="white"/>
                <w:lang w:eastAsia="en-US"/>
              </w:rPr>
            </w:pPr>
            <w:r>
              <w:rPr>
                <w:rFonts w:eastAsia="PMingLiU"/>
                <w:highlight w:val="white"/>
                <w:shd w:fill="FEFEFE" w:val="clear"/>
                <w:lang w:eastAsia="en-US"/>
              </w:rPr>
              <w:t>2.5. Суровините и всичките съставки съхраняват ли се при подходящи условия, които предотвратяват влошаването на качеството и предпазват от замърсяване?</w:t>
            </w:r>
          </w:p>
        </w:tc>
        <w:tc>
          <w:tcPr>
            <w:tcW w:w="810" w:type="dxa"/>
            <w:tcBorders>
              <w:bottom w:val="single" w:sz="8" w:space="0" w:color="000000"/>
              <w:right w:val="single" w:sz="8" w:space="0" w:color="000000"/>
              <w:insideH w:val="single" w:sz="8" w:space="0" w:color="000000"/>
              <w:insideV w:val="single" w:sz="8" w:space="0" w:color="000000"/>
            </w:tcBorders>
            <w:shd w:color="auto" w:fill="FEFEFE" w:val="clear"/>
            <w:vAlign w:val="center"/>
          </w:tcPr>
          <w:p>
            <w:pPr>
              <w:pStyle w:val="Normal"/>
              <w:widowControl w:val="false"/>
              <w:spacing w:lineRule="auto" w:line="360"/>
              <w:jc w:val="center"/>
              <w:rPr>
                <w:rFonts w:eastAsia="PMingLiU"/>
                <w:highlight w:val="white"/>
                <w:highlight w:val="white"/>
                <w:lang w:eastAsia="en-US"/>
              </w:rPr>
            </w:pPr>
            <w:r>
              <w:rPr>
                <w:rFonts w:eastAsia="Wingdings" w:cs="Wingdings" w:ascii="Wingdings" w:hAnsi="Wingdings"/>
                <w:highlight w:val="white"/>
                <w:shd w:fill="FEFEFE" w:val="clear"/>
                <w:lang w:eastAsia="en-US"/>
              </w:rPr>
              <w:t></w:t>
            </w:r>
            <w:r>
              <w:rPr>
                <w:rFonts w:eastAsia="PMingLiU"/>
                <w:highlight w:val="white"/>
                <w:shd w:fill="FEFEFE" w:val="clear"/>
                <w:lang w:eastAsia="en-US"/>
              </w:rPr>
              <w:t xml:space="preserve"> </w:t>
            </w:r>
            <w:r>
              <w:rPr>
                <w:rFonts w:eastAsia="PMingLiU"/>
                <w:highlight w:val="white"/>
                <w:shd w:fill="FEFEFE" w:val="clear"/>
                <w:lang w:eastAsia="en-US"/>
              </w:rPr>
              <w:t>Да</w:t>
            </w:r>
          </w:p>
        </w:tc>
        <w:tc>
          <w:tcPr>
            <w:tcW w:w="787" w:type="dxa"/>
            <w:tcBorders>
              <w:bottom w:val="single" w:sz="8" w:space="0" w:color="000000"/>
              <w:right w:val="single" w:sz="8" w:space="0" w:color="000000"/>
              <w:insideH w:val="single" w:sz="8" w:space="0" w:color="000000"/>
              <w:insideV w:val="single" w:sz="8" w:space="0" w:color="000000"/>
            </w:tcBorders>
            <w:shd w:color="auto" w:fill="FEFEFE" w:val="clear"/>
            <w:vAlign w:val="center"/>
          </w:tcPr>
          <w:p>
            <w:pPr>
              <w:pStyle w:val="Normal"/>
              <w:widowControl w:val="false"/>
              <w:spacing w:lineRule="auto" w:line="360"/>
              <w:jc w:val="center"/>
              <w:rPr>
                <w:rFonts w:eastAsia="PMingLiU"/>
                <w:highlight w:val="white"/>
                <w:highlight w:val="white"/>
                <w:lang w:eastAsia="en-US"/>
              </w:rPr>
            </w:pPr>
            <w:r>
              <w:rPr>
                <w:rFonts w:eastAsia="Wingdings" w:cs="Wingdings" w:ascii="Wingdings" w:hAnsi="Wingdings"/>
                <w:highlight w:val="white"/>
                <w:shd w:fill="FEFEFE" w:val="clear"/>
                <w:lang w:eastAsia="en-US"/>
              </w:rPr>
              <w:t></w:t>
            </w:r>
            <w:r>
              <w:rPr>
                <w:rFonts w:eastAsia="PMingLiU"/>
                <w:highlight w:val="white"/>
                <w:shd w:fill="FEFEFE" w:val="clear"/>
                <w:lang w:eastAsia="en-US"/>
              </w:rPr>
              <w:t xml:space="preserve"> </w:t>
            </w:r>
            <w:r>
              <w:rPr>
                <w:rFonts w:eastAsia="PMingLiU"/>
                <w:highlight w:val="white"/>
                <w:shd w:fill="FEFEFE" w:val="clear"/>
                <w:lang w:eastAsia="en-US"/>
              </w:rPr>
              <w:t>Не</w:t>
            </w:r>
          </w:p>
        </w:tc>
      </w:tr>
      <w:tr>
        <w:trPr>
          <w:trHeight w:val="60" w:hRule="atLeast"/>
        </w:trPr>
        <w:tc>
          <w:tcPr>
            <w:tcW w:w="7441" w:type="dxa"/>
            <w:tcBorders>
              <w:left w:val="single" w:sz="8" w:space="0" w:color="000000"/>
              <w:bottom w:val="single" w:sz="8" w:space="0" w:color="000000"/>
              <w:right w:val="single" w:sz="8" w:space="0" w:color="000000"/>
              <w:insideH w:val="single" w:sz="8" w:space="0" w:color="000000"/>
              <w:insideV w:val="single" w:sz="8" w:space="0" w:color="000000"/>
            </w:tcBorders>
            <w:shd w:color="auto" w:fill="FEFEFE" w:val="clear"/>
            <w:vAlign w:val="center"/>
          </w:tcPr>
          <w:p>
            <w:pPr>
              <w:pStyle w:val="Normal"/>
              <w:widowControl w:val="false"/>
              <w:spacing w:lineRule="auto" w:line="360"/>
              <w:ind w:left="144" w:right="144" w:hanging="0"/>
              <w:rPr>
                <w:rFonts w:eastAsia="PMingLiU"/>
                <w:highlight w:val="white"/>
                <w:highlight w:val="white"/>
                <w:lang w:eastAsia="en-US"/>
              </w:rPr>
            </w:pPr>
            <w:r>
              <w:rPr>
                <w:rFonts w:eastAsia="PMingLiU"/>
                <w:highlight w:val="white"/>
                <w:shd w:fill="FEFEFE" w:val="clear"/>
                <w:lang w:eastAsia="en-US"/>
              </w:rPr>
              <w:t>2.6. Налице ли са всички суровини за производство на продукта?</w:t>
            </w:r>
          </w:p>
        </w:tc>
        <w:tc>
          <w:tcPr>
            <w:tcW w:w="810" w:type="dxa"/>
            <w:tcBorders>
              <w:bottom w:val="single" w:sz="8" w:space="0" w:color="000000"/>
              <w:right w:val="single" w:sz="8" w:space="0" w:color="000000"/>
              <w:insideH w:val="single" w:sz="8" w:space="0" w:color="000000"/>
              <w:insideV w:val="single" w:sz="8" w:space="0" w:color="000000"/>
            </w:tcBorders>
            <w:shd w:color="auto" w:fill="FEFEFE" w:val="clear"/>
            <w:vAlign w:val="center"/>
          </w:tcPr>
          <w:p>
            <w:pPr>
              <w:pStyle w:val="Normal"/>
              <w:widowControl w:val="false"/>
              <w:spacing w:lineRule="auto" w:line="360"/>
              <w:jc w:val="center"/>
              <w:rPr>
                <w:rFonts w:eastAsia="PMingLiU"/>
                <w:highlight w:val="white"/>
                <w:highlight w:val="white"/>
                <w:lang w:eastAsia="en-US"/>
              </w:rPr>
            </w:pPr>
            <w:r>
              <w:rPr>
                <w:rFonts w:eastAsia="Wingdings" w:cs="Wingdings" w:ascii="Wingdings" w:hAnsi="Wingdings"/>
                <w:highlight w:val="white"/>
                <w:shd w:fill="FEFEFE" w:val="clear"/>
                <w:lang w:eastAsia="en-US"/>
              </w:rPr>
              <w:t></w:t>
            </w:r>
            <w:r>
              <w:rPr>
                <w:rFonts w:eastAsia="PMingLiU"/>
                <w:highlight w:val="white"/>
                <w:shd w:fill="FEFEFE" w:val="clear"/>
                <w:lang w:eastAsia="en-US"/>
              </w:rPr>
              <w:t xml:space="preserve"> </w:t>
            </w:r>
            <w:r>
              <w:rPr>
                <w:rFonts w:eastAsia="PMingLiU"/>
                <w:highlight w:val="white"/>
                <w:shd w:fill="FEFEFE" w:val="clear"/>
                <w:lang w:eastAsia="en-US"/>
              </w:rPr>
              <w:t>Да</w:t>
            </w:r>
          </w:p>
        </w:tc>
        <w:tc>
          <w:tcPr>
            <w:tcW w:w="787" w:type="dxa"/>
            <w:tcBorders>
              <w:bottom w:val="single" w:sz="8" w:space="0" w:color="000000"/>
              <w:right w:val="single" w:sz="8" w:space="0" w:color="000000"/>
              <w:insideH w:val="single" w:sz="8" w:space="0" w:color="000000"/>
              <w:insideV w:val="single" w:sz="8" w:space="0" w:color="000000"/>
            </w:tcBorders>
            <w:shd w:color="auto" w:fill="FEFEFE" w:val="clear"/>
            <w:vAlign w:val="center"/>
          </w:tcPr>
          <w:p>
            <w:pPr>
              <w:pStyle w:val="Normal"/>
              <w:widowControl w:val="false"/>
              <w:spacing w:lineRule="auto" w:line="360"/>
              <w:jc w:val="center"/>
              <w:rPr>
                <w:rFonts w:eastAsia="PMingLiU"/>
                <w:highlight w:val="white"/>
                <w:highlight w:val="white"/>
                <w:lang w:eastAsia="en-US"/>
              </w:rPr>
            </w:pPr>
            <w:r>
              <w:rPr>
                <w:rFonts w:eastAsia="Wingdings" w:cs="Wingdings" w:ascii="Wingdings" w:hAnsi="Wingdings"/>
                <w:highlight w:val="white"/>
                <w:shd w:fill="FEFEFE" w:val="clear"/>
                <w:lang w:eastAsia="en-US"/>
              </w:rPr>
              <w:t></w:t>
            </w:r>
            <w:r>
              <w:rPr>
                <w:rFonts w:eastAsia="PMingLiU"/>
                <w:highlight w:val="white"/>
                <w:shd w:fill="FEFEFE" w:val="clear"/>
                <w:lang w:eastAsia="en-US"/>
              </w:rPr>
              <w:t xml:space="preserve"> </w:t>
            </w:r>
            <w:r>
              <w:rPr>
                <w:rFonts w:eastAsia="PMingLiU"/>
                <w:highlight w:val="white"/>
                <w:shd w:fill="FEFEFE" w:val="clear"/>
                <w:lang w:eastAsia="en-US"/>
              </w:rPr>
              <w:t>Не</w:t>
            </w:r>
          </w:p>
        </w:tc>
      </w:tr>
      <w:tr>
        <w:trPr>
          <w:trHeight w:val="60" w:hRule="atLeast"/>
        </w:trPr>
        <w:tc>
          <w:tcPr>
            <w:tcW w:w="7441" w:type="dxa"/>
            <w:tcBorders>
              <w:left w:val="single" w:sz="8" w:space="0" w:color="000000"/>
              <w:bottom w:val="single" w:sz="8" w:space="0" w:color="000000"/>
              <w:right w:val="single" w:sz="8" w:space="0" w:color="000000"/>
              <w:insideH w:val="single" w:sz="8" w:space="0" w:color="000000"/>
              <w:insideV w:val="single" w:sz="8" w:space="0" w:color="000000"/>
            </w:tcBorders>
            <w:shd w:color="auto" w:fill="FEFEFE" w:val="clear"/>
            <w:vAlign w:val="center"/>
          </w:tcPr>
          <w:p>
            <w:pPr>
              <w:pStyle w:val="Normal"/>
              <w:widowControl w:val="false"/>
              <w:spacing w:lineRule="auto" w:line="360"/>
              <w:ind w:left="144" w:right="144" w:hanging="0"/>
              <w:rPr>
                <w:rFonts w:eastAsia="PMingLiU"/>
                <w:highlight w:val="white"/>
                <w:highlight w:val="white"/>
                <w:lang w:eastAsia="en-US"/>
              </w:rPr>
            </w:pPr>
            <w:r>
              <w:rPr>
                <w:rFonts w:eastAsia="PMingLiU"/>
                <w:highlight w:val="white"/>
                <w:shd w:fill="FEFEFE" w:val="clear"/>
                <w:lang w:eastAsia="en-US"/>
              </w:rPr>
              <w:t>2.7. Физико-химичните/микробиологичните показатели в технологичната документация съответстват ли на изредените в спецификацията?</w:t>
            </w:r>
          </w:p>
        </w:tc>
        <w:tc>
          <w:tcPr>
            <w:tcW w:w="810" w:type="dxa"/>
            <w:tcBorders>
              <w:bottom w:val="single" w:sz="8" w:space="0" w:color="000000"/>
              <w:right w:val="single" w:sz="8" w:space="0" w:color="000000"/>
              <w:insideH w:val="single" w:sz="8" w:space="0" w:color="000000"/>
              <w:insideV w:val="single" w:sz="8" w:space="0" w:color="000000"/>
            </w:tcBorders>
            <w:shd w:color="auto" w:fill="FEFEFE" w:val="clear"/>
            <w:vAlign w:val="center"/>
          </w:tcPr>
          <w:p>
            <w:pPr>
              <w:pStyle w:val="Normal"/>
              <w:widowControl w:val="false"/>
              <w:spacing w:lineRule="auto" w:line="360"/>
              <w:jc w:val="center"/>
              <w:rPr>
                <w:rFonts w:eastAsia="PMingLiU"/>
                <w:highlight w:val="white"/>
                <w:highlight w:val="white"/>
                <w:lang w:eastAsia="en-US"/>
              </w:rPr>
            </w:pPr>
            <w:r>
              <w:rPr>
                <w:rFonts w:eastAsia="Wingdings" w:cs="Wingdings" w:ascii="Wingdings" w:hAnsi="Wingdings"/>
                <w:highlight w:val="white"/>
                <w:shd w:fill="FEFEFE" w:val="clear"/>
                <w:lang w:eastAsia="en-US"/>
              </w:rPr>
              <w:t></w:t>
            </w:r>
            <w:r>
              <w:rPr>
                <w:rFonts w:eastAsia="PMingLiU"/>
                <w:highlight w:val="white"/>
                <w:shd w:fill="FEFEFE" w:val="clear"/>
                <w:lang w:eastAsia="en-US"/>
              </w:rPr>
              <w:t xml:space="preserve"> </w:t>
            </w:r>
            <w:r>
              <w:rPr>
                <w:rFonts w:eastAsia="PMingLiU"/>
                <w:highlight w:val="white"/>
                <w:shd w:fill="FEFEFE" w:val="clear"/>
                <w:lang w:eastAsia="en-US"/>
              </w:rPr>
              <w:t>Да</w:t>
            </w:r>
          </w:p>
        </w:tc>
        <w:tc>
          <w:tcPr>
            <w:tcW w:w="787" w:type="dxa"/>
            <w:tcBorders>
              <w:bottom w:val="single" w:sz="8" w:space="0" w:color="000000"/>
              <w:right w:val="single" w:sz="8" w:space="0" w:color="000000"/>
              <w:insideH w:val="single" w:sz="8" w:space="0" w:color="000000"/>
              <w:insideV w:val="single" w:sz="8" w:space="0" w:color="000000"/>
            </w:tcBorders>
            <w:shd w:color="auto" w:fill="FEFEFE" w:val="clear"/>
            <w:vAlign w:val="center"/>
          </w:tcPr>
          <w:p>
            <w:pPr>
              <w:pStyle w:val="Normal"/>
              <w:widowControl w:val="false"/>
              <w:spacing w:lineRule="auto" w:line="360"/>
              <w:jc w:val="center"/>
              <w:rPr>
                <w:rFonts w:eastAsia="PMingLiU"/>
                <w:highlight w:val="white"/>
                <w:highlight w:val="white"/>
                <w:lang w:eastAsia="en-US"/>
              </w:rPr>
            </w:pPr>
            <w:r>
              <w:rPr>
                <w:rFonts w:eastAsia="Wingdings" w:cs="Wingdings" w:ascii="Wingdings" w:hAnsi="Wingdings"/>
                <w:highlight w:val="white"/>
                <w:shd w:fill="FEFEFE" w:val="clear"/>
                <w:lang w:eastAsia="en-US"/>
              </w:rPr>
              <w:t></w:t>
            </w:r>
            <w:r>
              <w:rPr>
                <w:rFonts w:eastAsia="PMingLiU"/>
                <w:highlight w:val="white"/>
                <w:shd w:fill="FEFEFE" w:val="clear"/>
                <w:lang w:eastAsia="en-US"/>
              </w:rPr>
              <w:t xml:space="preserve"> </w:t>
            </w:r>
            <w:r>
              <w:rPr>
                <w:rFonts w:eastAsia="PMingLiU"/>
                <w:highlight w:val="white"/>
                <w:shd w:fill="FEFEFE" w:val="clear"/>
                <w:lang w:eastAsia="en-US"/>
              </w:rPr>
              <w:t>Не</w:t>
            </w:r>
          </w:p>
        </w:tc>
      </w:tr>
      <w:tr>
        <w:trPr>
          <w:trHeight w:val="935" w:hRule="atLeast"/>
        </w:trPr>
        <w:tc>
          <w:tcPr>
            <w:tcW w:w="7441" w:type="dxa"/>
            <w:tcBorders>
              <w:left w:val="single" w:sz="8" w:space="0" w:color="000000"/>
              <w:bottom w:val="single" w:sz="8" w:space="0" w:color="000000"/>
              <w:right w:val="single" w:sz="8" w:space="0" w:color="000000"/>
              <w:insideH w:val="single" w:sz="8" w:space="0" w:color="000000"/>
              <w:insideV w:val="single" w:sz="8" w:space="0" w:color="000000"/>
            </w:tcBorders>
            <w:shd w:color="auto" w:fill="FEFEFE" w:val="clear"/>
            <w:vAlign w:val="center"/>
          </w:tcPr>
          <w:p>
            <w:pPr>
              <w:pStyle w:val="Normal"/>
              <w:widowControl w:val="false"/>
              <w:spacing w:lineRule="auto" w:line="360"/>
              <w:ind w:left="144" w:right="144" w:hanging="0"/>
              <w:rPr>
                <w:rFonts w:eastAsia="PMingLiU"/>
                <w:highlight w:val="white"/>
                <w:highlight w:val="white"/>
                <w:lang w:eastAsia="en-US"/>
              </w:rPr>
            </w:pPr>
            <w:r>
              <w:rPr>
                <w:rFonts w:eastAsia="PMingLiU"/>
                <w:highlight w:val="white"/>
                <w:shd w:fill="FEFEFE" w:val="clear"/>
                <w:lang w:eastAsia="en-US"/>
              </w:rPr>
              <w:t>2.8. Външният вид, формата и размерите на продукта съответстват ли на спецификацията? Моля, пояснете.</w:t>
            </w:r>
          </w:p>
        </w:tc>
        <w:tc>
          <w:tcPr>
            <w:tcW w:w="810" w:type="dxa"/>
            <w:tcBorders>
              <w:bottom w:val="single" w:sz="8" w:space="0" w:color="000000"/>
              <w:right w:val="single" w:sz="8" w:space="0" w:color="000000"/>
              <w:insideH w:val="single" w:sz="8" w:space="0" w:color="000000"/>
              <w:insideV w:val="single" w:sz="8" w:space="0" w:color="000000"/>
            </w:tcBorders>
            <w:shd w:color="auto" w:fill="FEFEFE" w:val="clear"/>
            <w:vAlign w:val="center"/>
          </w:tcPr>
          <w:p>
            <w:pPr>
              <w:pStyle w:val="Normal"/>
              <w:widowControl w:val="false"/>
              <w:spacing w:lineRule="auto" w:line="360"/>
              <w:jc w:val="center"/>
              <w:rPr>
                <w:rFonts w:eastAsia="PMingLiU"/>
                <w:highlight w:val="white"/>
                <w:highlight w:val="white"/>
                <w:lang w:eastAsia="en-US"/>
              </w:rPr>
            </w:pPr>
            <w:r>
              <w:rPr>
                <w:rFonts w:eastAsia="Wingdings" w:cs="Wingdings" w:ascii="Wingdings" w:hAnsi="Wingdings"/>
                <w:highlight w:val="white"/>
                <w:shd w:fill="FEFEFE" w:val="clear"/>
                <w:lang w:eastAsia="en-US"/>
              </w:rPr>
              <w:t></w:t>
            </w:r>
            <w:r>
              <w:rPr>
                <w:rFonts w:eastAsia="PMingLiU"/>
                <w:highlight w:val="white"/>
                <w:shd w:fill="FEFEFE" w:val="clear"/>
                <w:lang w:eastAsia="en-US"/>
              </w:rPr>
              <w:t xml:space="preserve"> </w:t>
            </w:r>
            <w:r>
              <w:rPr>
                <w:rFonts w:eastAsia="PMingLiU"/>
                <w:highlight w:val="white"/>
                <w:shd w:fill="FEFEFE" w:val="clear"/>
                <w:lang w:eastAsia="en-US"/>
              </w:rPr>
              <w:t>Да</w:t>
            </w:r>
          </w:p>
        </w:tc>
        <w:tc>
          <w:tcPr>
            <w:tcW w:w="787" w:type="dxa"/>
            <w:tcBorders>
              <w:bottom w:val="single" w:sz="8" w:space="0" w:color="000000"/>
              <w:right w:val="single" w:sz="8" w:space="0" w:color="000000"/>
              <w:insideH w:val="single" w:sz="8" w:space="0" w:color="000000"/>
              <w:insideV w:val="single" w:sz="8" w:space="0" w:color="000000"/>
            </w:tcBorders>
            <w:shd w:color="auto" w:fill="FEFEFE" w:val="clear"/>
            <w:vAlign w:val="center"/>
          </w:tcPr>
          <w:p>
            <w:pPr>
              <w:pStyle w:val="Normal"/>
              <w:widowControl w:val="false"/>
              <w:spacing w:lineRule="auto" w:line="360"/>
              <w:jc w:val="center"/>
              <w:rPr>
                <w:rFonts w:eastAsia="PMingLiU"/>
                <w:highlight w:val="white"/>
                <w:highlight w:val="white"/>
                <w:lang w:eastAsia="en-US"/>
              </w:rPr>
            </w:pPr>
            <w:r>
              <w:rPr>
                <w:rFonts w:eastAsia="Wingdings" w:cs="Wingdings" w:ascii="Wingdings" w:hAnsi="Wingdings"/>
                <w:highlight w:val="white"/>
                <w:shd w:fill="FEFEFE" w:val="clear"/>
                <w:lang w:eastAsia="en-US"/>
              </w:rPr>
              <w:t></w:t>
            </w:r>
            <w:r>
              <w:rPr>
                <w:rFonts w:eastAsia="PMingLiU"/>
                <w:highlight w:val="white"/>
                <w:shd w:fill="FEFEFE" w:val="clear"/>
                <w:lang w:eastAsia="en-US"/>
              </w:rPr>
              <w:t xml:space="preserve"> </w:t>
            </w:r>
            <w:r>
              <w:rPr>
                <w:rFonts w:eastAsia="PMingLiU"/>
                <w:highlight w:val="white"/>
                <w:shd w:fill="FEFEFE" w:val="clear"/>
                <w:lang w:eastAsia="en-US"/>
              </w:rPr>
              <w:t>Не</w:t>
            </w:r>
          </w:p>
        </w:tc>
      </w:tr>
      <w:tr>
        <w:trPr>
          <w:trHeight w:val="1016" w:hRule="atLeast"/>
        </w:trPr>
        <w:tc>
          <w:tcPr>
            <w:tcW w:w="7441" w:type="dxa"/>
            <w:tcBorders>
              <w:left w:val="single" w:sz="8" w:space="0" w:color="000000"/>
              <w:bottom w:val="single" w:sz="8" w:space="0" w:color="000000"/>
              <w:right w:val="single" w:sz="8" w:space="0" w:color="000000"/>
              <w:insideH w:val="single" w:sz="8" w:space="0" w:color="000000"/>
              <w:insideV w:val="single" w:sz="8" w:space="0" w:color="000000"/>
            </w:tcBorders>
            <w:shd w:color="auto" w:fill="FEFEFE" w:val="clear"/>
            <w:vAlign w:val="center"/>
          </w:tcPr>
          <w:p>
            <w:pPr>
              <w:pStyle w:val="Normal"/>
              <w:widowControl w:val="false"/>
              <w:spacing w:lineRule="auto" w:line="360"/>
              <w:ind w:left="144" w:right="144" w:hanging="0"/>
              <w:rPr>
                <w:rFonts w:eastAsia="PMingLiU"/>
                <w:highlight w:val="white"/>
                <w:highlight w:val="white"/>
                <w:lang w:eastAsia="en-US"/>
              </w:rPr>
            </w:pPr>
            <w:r>
              <w:rPr>
                <w:rFonts w:eastAsia="PMingLiU"/>
                <w:highlight w:val="white"/>
                <w:shd w:fill="FEFEFE" w:val="clear"/>
                <w:lang w:eastAsia="en-US"/>
              </w:rPr>
              <w:t>2.9. Резултатите от лабораторните изследвания съответстват ли на физико-химичните/микробиологичните показатели в спецификацията? Ако не - моля, пояснете.</w:t>
            </w:r>
          </w:p>
        </w:tc>
        <w:tc>
          <w:tcPr>
            <w:tcW w:w="810" w:type="dxa"/>
            <w:tcBorders>
              <w:bottom w:val="single" w:sz="8" w:space="0" w:color="000000"/>
              <w:right w:val="single" w:sz="8" w:space="0" w:color="000000"/>
              <w:insideH w:val="single" w:sz="8" w:space="0" w:color="000000"/>
              <w:insideV w:val="single" w:sz="8" w:space="0" w:color="000000"/>
            </w:tcBorders>
            <w:shd w:color="auto" w:fill="FEFEFE" w:val="clear"/>
            <w:vAlign w:val="center"/>
          </w:tcPr>
          <w:p>
            <w:pPr>
              <w:pStyle w:val="Normal"/>
              <w:widowControl w:val="false"/>
              <w:spacing w:lineRule="auto" w:line="360"/>
              <w:jc w:val="center"/>
              <w:rPr>
                <w:rFonts w:eastAsia="PMingLiU"/>
                <w:highlight w:val="white"/>
                <w:highlight w:val="white"/>
                <w:lang w:eastAsia="en-US"/>
              </w:rPr>
            </w:pPr>
            <w:r>
              <w:rPr>
                <w:rFonts w:eastAsia="Wingdings" w:cs="Wingdings" w:ascii="Wingdings" w:hAnsi="Wingdings"/>
                <w:highlight w:val="white"/>
                <w:shd w:fill="FEFEFE" w:val="clear"/>
                <w:lang w:eastAsia="en-US"/>
              </w:rPr>
              <w:t></w:t>
            </w:r>
            <w:r>
              <w:rPr>
                <w:rFonts w:eastAsia="PMingLiU"/>
                <w:highlight w:val="white"/>
                <w:shd w:fill="FEFEFE" w:val="clear"/>
                <w:lang w:eastAsia="en-US"/>
              </w:rPr>
              <w:t xml:space="preserve"> </w:t>
            </w:r>
            <w:r>
              <w:rPr>
                <w:rFonts w:eastAsia="PMingLiU"/>
                <w:highlight w:val="white"/>
                <w:shd w:fill="FEFEFE" w:val="clear"/>
                <w:lang w:eastAsia="en-US"/>
              </w:rPr>
              <w:t>Да</w:t>
            </w:r>
          </w:p>
        </w:tc>
        <w:tc>
          <w:tcPr>
            <w:tcW w:w="787" w:type="dxa"/>
            <w:tcBorders>
              <w:bottom w:val="single" w:sz="8" w:space="0" w:color="000000"/>
              <w:right w:val="single" w:sz="8" w:space="0" w:color="000000"/>
              <w:insideH w:val="single" w:sz="8" w:space="0" w:color="000000"/>
              <w:insideV w:val="single" w:sz="8" w:space="0" w:color="000000"/>
            </w:tcBorders>
            <w:shd w:color="auto" w:fill="FEFEFE" w:val="clear"/>
            <w:vAlign w:val="center"/>
          </w:tcPr>
          <w:p>
            <w:pPr>
              <w:pStyle w:val="Normal"/>
              <w:widowControl w:val="false"/>
              <w:spacing w:lineRule="auto" w:line="360"/>
              <w:jc w:val="center"/>
              <w:rPr>
                <w:rFonts w:eastAsia="PMingLiU"/>
                <w:highlight w:val="white"/>
                <w:highlight w:val="white"/>
                <w:lang w:eastAsia="en-US"/>
              </w:rPr>
            </w:pPr>
            <w:r>
              <w:rPr>
                <w:rFonts w:eastAsia="Wingdings" w:cs="Wingdings" w:ascii="Wingdings" w:hAnsi="Wingdings"/>
                <w:highlight w:val="white"/>
                <w:shd w:fill="FEFEFE" w:val="clear"/>
                <w:lang w:eastAsia="en-US"/>
              </w:rPr>
              <w:t></w:t>
            </w:r>
            <w:r>
              <w:rPr>
                <w:rFonts w:eastAsia="PMingLiU"/>
                <w:highlight w:val="white"/>
                <w:shd w:fill="FEFEFE" w:val="clear"/>
                <w:lang w:eastAsia="en-US"/>
              </w:rPr>
              <w:t xml:space="preserve"> </w:t>
            </w:r>
            <w:r>
              <w:rPr>
                <w:rFonts w:eastAsia="PMingLiU"/>
                <w:highlight w:val="white"/>
                <w:shd w:fill="FEFEFE" w:val="clear"/>
                <w:lang w:eastAsia="en-US"/>
              </w:rPr>
              <w:t>Не</w:t>
            </w:r>
          </w:p>
        </w:tc>
      </w:tr>
      <w:tr>
        <w:trPr>
          <w:trHeight w:val="755" w:hRule="atLeast"/>
        </w:trPr>
        <w:tc>
          <w:tcPr>
            <w:tcW w:w="7441" w:type="dxa"/>
            <w:tcBorders>
              <w:left w:val="single" w:sz="8" w:space="0" w:color="000000"/>
              <w:bottom w:val="single" w:sz="8" w:space="0" w:color="000000"/>
              <w:right w:val="single" w:sz="8" w:space="0" w:color="000000"/>
              <w:insideH w:val="single" w:sz="8" w:space="0" w:color="000000"/>
              <w:insideV w:val="single" w:sz="8" w:space="0" w:color="000000"/>
            </w:tcBorders>
            <w:shd w:color="auto" w:fill="FEFEFE" w:val="clear"/>
            <w:vAlign w:val="center"/>
          </w:tcPr>
          <w:p>
            <w:pPr>
              <w:pStyle w:val="Normal"/>
              <w:widowControl w:val="false"/>
              <w:spacing w:lineRule="auto" w:line="360"/>
              <w:ind w:left="144" w:right="144" w:hanging="0"/>
              <w:rPr>
                <w:rFonts w:eastAsia="PMingLiU"/>
                <w:highlight w:val="white"/>
                <w:highlight w:val="white"/>
                <w:lang w:eastAsia="en-US"/>
              </w:rPr>
            </w:pPr>
            <w:r>
              <w:rPr>
                <w:rFonts w:eastAsia="PMingLiU"/>
                <w:highlight w:val="white"/>
                <w:shd w:fill="FEFEFE" w:val="clear"/>
                <w:lang w:eastAsia="en-US"/>
              </w:rPr>
              <w:t>2.10. Производственият метод отговаря ли на заложения в спецификацията? Моля, пояснете.</w:t>
            </w:r>
          </w:p>
        </w:tc>
        <w:tc>
          <w:tcPr>
            <w:tcW w:w="810" w:type="dxa"/>
            <w:tcBorders>
              <w:bottom w:val="single" w:sz="8" w:space="0" w:color="000000"/>
              <w:right w:val="single" w:sz="8" w:space="0" w:color="000000"/>
              <w:insideH w:val="single" w:sz="8" w:space="0" w:color="000000"/>
              <w:insideV w:val="single" w:sz="8" w:space="0" w:color="000000"/>
            </w:tcBorders>
            <w:shd w:color="auto" w:fill="FEFEFE" w:val="clear"/>
            <w:vAlign w:val="center"/>
          </w:tcPr>
          <w:p>
            <w:pPr>
              <w:pStyle w:val="Normal"/>
              <w:widowControl w:val="false"/>
              <w:spacing w:lineRule="auto" w:line="360"/>
              <w:jc w:val="center"/>
              <w:rPr>
                <w:rFonts w:eastAsia="PMingLiU"/>
                <w:highlight w:val="white"/>
                <w:highlight w:val="white"/>
                <w:lang w:eastAsia="en-US"/>
              </w:rPr>
            </w:pPr>
            <w:r>
              <w:rPr>
                <w:rFonts w:eastAsia="Wingdings" w:cs="Wingdings" w:ascii="Wingdings" w:hAnsi="Wingdings"/>
                <w:highlight w:val="white"/>
                <w:shd w:fill="FEFEFE" w:val="clear"/>
                <w:lang w:eastAsia="en-US"/>
              </w:rPr>
              <w:t></w:t>
            </w:r>
            <w:r>
              <w:rPr>
                <w:rFonts w:eastAsia="PMingLiU"/>
                <w:highlight w:val="white"/>
                <w:shd w:fill="FEFEFE" w:val="clear"/>
                <w:lang w:eastAsia="en-US"/>
              </w:rPr>
              <w:t xml:space="preserve"> </w:t>
            </w:r>
            <w:r>
              <w:rPr>
                <w:rFonts w:eastAsia="PMingLiU"/>
                <w:highlight w:val="white"/>
                <w:shd w:fill="FEFEFE" w:val="clear"/>
                <w:lang w:eastAsia="en-US"/>
              </w:rPr>
              <w:t>Да</w:t>
            </w:r>
          </w:p>
        </w:tc>
        <w:tc>
          <w:tcPr>
            <w:tcW w:w="787" w:type="dxa"/>
            <w:tcBorders>
              <w:bottom w:val="single" w:sz="8" w:space="0" w:color="000000"/>
              <w:right w:val="single" w:sz="8" w:space="0" w:color="000000"/>
              <w:insideH w:val="single" w:sz="8" w:space="0" w:color="000000"/>
              <w:insideV w:val="single" w:sz="8" w:space="0" w:color="000000"/>
            </w:tcBorders>
            <w:shd w:color="auto" w:fill="FEFEFE" w:val="clear"/>
            <w:vAlign w:val="center"/>
          </w:tcPr>
          <w:p>
            <w:pPr>
              <w:pStyle w:val="Normal"/>
              <w:widowControl w:val="false"/>
              <w:spacing w:lineRule="auto" w:line="360"/>
              <w:jc w:val="center"/>
              <w:rPr>
                <w:rFonts w:eastAsia="PMingLiU"/>
                <w:highlight w:val="white"/>
                <w:highlight w:val="white"/>
                <w:lang w:eastAsia="en-US"/>
              </w:rPr>
            </w:pPr>
            <w:r>
              <w:rPr>
                <w:rFonts w:eastAsia="Wingdings" w:cs="Wingdings" w:ascii="Wingdings" w:hAnsi="Wingdings"/>
                <w:highlight w:val="white"/>
                <w:shd w:fill="FEFEFE" w:val="clear"/>
                <w:lang w:eastAsia="en-US"/>
              </w:rPr>
              <w:t></w:t>
            </w:r>
            <w:r>
              <w:rPr>
                <w:rFonts w:eastAsia="PMingLiU"/>
                <w:highlight w:val="white"/>
                <w:shd w:fill="FEFEFE" w:val="clear"/>
                <w:lang w:eastAsia="en-US"/>
              </w:rPr>
              <w:t xml:space="preserve"> </w:t>
            </w:r>
            <w:r>
              <w:rPr>
                <w:rFonts w:eastAsia="PMingLiU"/>
                <w:highlight w:val="white"/>
                <w:shd w:fill="FEFEFE" w:val="clear"/>
                <w:lang w:eastAsia="en-US"/>
              </w:rPr>
              <w:t>Не</w:t>
            </w:r>
          </w:p>
        </w:tc>
      </w:tr>
      <w:tr>
        <w:trPr>
          <w:trHeight w:val="771" w:hRule="atLeast"/>
        </w:trPr>
        <w:tc>
          <w:tcPr>
            <w:tcW w:w="7441" w:type="dxa"/>
            <w:tcBorders>
              <w:left w:val="single" w:sz="8" w:space="0" w:color="000000"/>
              <w:bottom w:val="single" w:sz="8" w:space="0" w:color="000000"/>
              <w:right w:val="single" w:sz="8" w:space="0" w:color="000000"/>
              <w:insideH w:val="single" w:sz="8" w:space="0" w:color="000000"/>
              <w:insideV w:val="single" w:sz="8" w:space="0" w:color="000000"/>
            </w:tcBorders>
            <w:shd w:color="auto" w:fill="FEFEFE" w:val="clear"/>
            <w:vAlign w:val="center"/>
          </w:tcPr>
          <w:p>
            <w:pPr>
              <w:pStyle w:val="Normal"/>
              <w:widowControl w:val="false"/>
              <w:spacing w:lineRule="auto" w:line="360"/>
              <w:ind w:left="144" w:right="144" w:hanging="0"/>
              <w:rPr>
                <w:rFonts w:eastAsia="PMingLiU"/>
                <w:highlight w:val="white"/>
                <w:highlight w:val="white"/>
                <w:lang w:eastAsia="en-US"/>
              </w:rPr>
            </w:pPr>
            <w:r>
              <w:rPr>
                <w:rFonts w:eastAsia="PMingLiU"/>
                <w:highlight w:val="white"/>
                <w:shd w:fill="FEFEFE" w:val="clear"/>
                <w:lang w:eastAsia="en-US"/>
              </w:rPr>
              <w:t xml:space="preserve">2.11. Начинът на опаковане и етикетиране в съответствие ли е със заложените изисквания? </w:t>
            </w:r>
          </w:p>
        </w:tc>
        <w:tc>
          <w:tcPr>
            <w:tcW w:w="810" w:type="dxa"/>
            <w:tcBorders>
              <w:bottom w:val="single" w:sz="8" w:space="0" w:color="000000"/>
              <w:right w:val="single" w:sz="8" w:space="0" w:color="000000"/>
              <w:insideH w:val="single" w:sz="8" w:space="0" w:color="000000"/>
              <w:insideV w:val="single" w:sz="8" w:space="0" w:color="000000"/>
            </w:tcBorders>
            <w:shd w:color="auto" w:fill="FEFEFE" w:val="clear"/>
            <w:vAlign w:val="center"/>
          </w:tcPr>
          <w:p>
            <w:pPr>
              <w:pStyle w:val="Normal"/>
              <w:widowControl w:val="false"/>
              <w:spacing w:lineRule="auto" w:line="360"/>
              <w:jc w:val="center"/>
              <w:rPr>
                <w:rFonts w:eastAsia="PMingLiU"/>
                <w:highlight w:val="white"/>
                <w:highlight w:val="white"/>
                <w:lang w:eastAsia="en-US"/>
              </w:rPr>
            </w:pPr>
            <w:r>
              <w:rPr>
                <w:rFonts w:eastAsia="Wingdings" w:cs="Wingdings" w:ascii="Wingdings" w:hAnsi="Wingdings"/>
                <w:highlight w:val="white"/>
                <w:shd w:fill="FEFEFE" w:val="clear"/>
                <w:lang w:eastAsia="en-US"/>
              </w:rPr>
              <w:t></w:t>
            </w:r>
            <w:r>
              <w:rPr>
                <w:rFonts w:eastAsia="PMingLiU"/>
                <w:highlight w:val="white"/>
                <w:shd w:fill="FEFEFE" w:val="clear"/>
                <w:lang w:eastAsia="en-US"/>
              </w:rPr>
              <w:t xml:space="preserve"> </w:t>
            </w:r>
            <w:r>
              <w:rPr>
                <w:rFonts w:eastAsia="PMingLiU"/>
                <w:highlight w:val="white"/>
                <w:shd w:fill="FEFEFE" w:val="clear"/>
                <w:lang w:eastAsia="en-US"/>
              </w:rPr>
              <w:t>Да</w:t>
            </w:r>
          </w:p>
        </w:tc>
        <w:tc>
          <w:tcPr>
            <w:tcW w:w="787" w:type="dxa"/>
            <w:tcBorders>
              <w:bottom w:val="single" w:sz="8" w:space="0" w:color="000000"/>
              <w:right w:val="single" w:sz="8" w:space="0" w:color="000000"/>
              <w:insideH w:val="single" w:sz="8" w:space="0" w:color="000000"/>
              <w:insideV w:val="single" w:sz="8" w:space="0" w:color="000000"/>
            </w:tcBorders>
            <w:shd w:color="auto" w:fill="FEFEFE" w:val="clear"/>
            <w:vAlign w:val="center"/>
          </w:tcPr>
          <w:p>
            <w:pPr>
              <w:pStyle w:val="Normal"/>
              <w:widowControl w:val="false"/>
              <w:spacing w:lineRule="auto" w:line="360"/>
              <w:jc w:val="center"/>
              <w:rPr>
                <w:rFonts w:eastAsia="PMingLiU"/>
                <w:highlight w:val="white"/>
                <w:highlight w:val="white"/>
                <w:lang w:eastAsia="en-US"/>
              </w:rPr>
            </w:pPr>
            <w:r>
              <w:rPr>
                <w:rFonts w:eastAsia="Wingdings" w:cs="Wingdings" w:ascii="Wingdings" w:hAnsi="Wingdings"/>
                <w:highlight w:val="white"/>
                <w:shd w:fill="FEFEFE" w:val="clear"/>
                <w:lang w:eastAsia="en-US"/>
              </w:rPr>
              <w:t></w:t>
            </w:r>
            <w:r>
              <w:rPr>
                <w:rFonts w:eastAsia="PMingLiU"/>
                <w:highlight w:val="white"/>
                <w:shd w:fill="FEFEFE" w:val="clear"/>
                <w:lang w:eastAsia="en-US"/>
              </w:rPr>
              <w:t xml:space="preserve"> </w:t>
            </w:r>
            <w:r>
              <w:rPr>
                <w:rFonts w:eastAsia="PMingLiU"/>
                <w:highlight w:val="white"/>
                <w:shd w:fill="FEFEFE" w:val="clear"/>
                <w:lang w:eastAsia="en-US"/>
              </w:rPr>
              <w:t>Не</w:t>
            </w:r>
          </w:p>
        </w:tc>
      </w:tr>
    </w:tbl>
    <w:p>
      <w:pPr>
        <w:pStyle w:val="Normal"/>
        <w:widowControl w:val="false"/>
        <w:spacing w:lineRule="auto" w:line="360"/>
        <w:rPr>
          <w:rFonts w:eastAsia="PMingLiU"/>
          <w:lang w:eastAsia="en-US"/>
        </w:rPr>
      </w:pPr>
      <w:r>
        <w:rPr>
          <w:rFonts w:eastAsia="PMingLiU"/>
          <w:lang w:eastAsia="en-US"/>
        </w:rPr>
      </w:r>
    </w:p>
    <w:p>
      <w:pPr>
        <w:pStyle w:val="Normal"/>
        <w:widowControl w:val="false"/>
        <w:spacing w:lineRule="auto" w:line="360"/>
        <w:rPr>
          <w:rFonts w:eastAsia="PMingLiU"/>
          <w:lang w:eastAsia="en-US"/>
        </w:rPr>
      </w:pPr>
      <w:r>
        <w:rPr>
          <w:rFonts w:eastAsia="PMingLiU"/>
          <w:lang w:eastAsia="en-US"/>
        </w:rPr>
      </w:r>
    </w:p>
    <w:p>
      <w:pPr>
        <w:pStyle w:val="Normal"/>
        <w:widowControl w:val="false"/>
        <w:spacing w:lineRule="auto" w:line="360"/>
        <w:jc w:val="both"/>
        <w:rPr>
          <w:rFonts w:eastAsia="PMingLiU"/>
          <w:lang w:eastAsia="en-US"/>
        </w:rPr>
      </w:pPr>
      <w:r>
        <w:rPr>
          <w:rFonts w:eastAsia="PMingLiU"/>
          <w:b/>
          <w:highlight w:val="white"/>
          <w:shd w:fill="FEFEFE" w:val="clear"/>
          <w:lang w:eastAsia="en-US"/>
        </w:rPr>
        <w:t>Констатация</w:t>
      </w:r>
      <w:r>
        <w:rPr>
          <w:rFonts w:eastAsia="PMingLiU"/>
          <w:b/>
          <w:shd w:fill="FEFEFE" w:val="clear"/>
          <w:lang w:eastAsia="en-US"/>
        </w:rPr>
        <w:t>:</w:t>
      </w:r>
      <w:r>
        <w:rPr>
          <w:rFonts w:eastAsia="PMingLiU"/>
          <w:lang w:eastAsia="en-US"/>
        </w:rPr>
        <w:t xml:space="preserve"> </w:t>
      </w:r>
    </w:p>
    <w:p>
      <w:pPr>
        <w:pStyle w:val="Normal"/>
        <w:widowControl w:val="false"/>
        <w:spacing w:lineRule="auto" w:line="360"/>
        <w:jc w:val="both"/>
        <w:rPr>
          <w:rFonts w:eastAsia="PMingLiU"/>
          <w:highlight w:val="white"/>
          <w:lang w:eastAsia="en-US"/>
        </w:rPr>
      </w:pPr>
      <w:r>
        <w:rPr>
          <w:rFonts w:eastAsia="PMingLiU"/>
          <w:shd w:fill="FEFEFE" w:val="clear"/>
          <w:lang w:eastAsia="en-US"/>
        </w:rPr>
      </w:r>
    </w:p>
    <w:p>
      <w:pPr>
        <w:pStyle w:val="Normal"/>
        <w:widowControl w:val="false"/>
        <w:spacing w:lineRule="auto" w:line="360"/>
        <w:jc w:val="both"/>
        <w:rPr>
          <w:rFonts w:eastAsia="PMingLiU"/>
          <w:highlight w:val="white"/>
          <w:highlight w:val="white"/>
          <w:lang w:eastAsia="en-US"/>
        </w:rPr>
      </w:pPr>
      <w:r>
        <w:rPr>
          <w:rFonts w:eastAsia="PMingLiU"/>
          <w:b/>
          <w:highlight w:val="white"/>
          <w:shd w:fill="FEFEFE" w:val="clear"/>
          <w:lang w:eastAsia="en-US"/>
        </w:rPr>
        <w:t>Заключение:</w:t>
      </w:r>
      <w:r>
        <w:rPr>
          <w:rFonts w:eastAsia="PMingLiU"/>
          <w:highlight w:val="white"/>
          <w:shd w:fill="FEFEFE" w:val="clear"/>
          <w:lang w:eastAsia="en-US"/>
        </w:rPr>
        <w:t xml:space="preserve">  </w:t>
      </w:r>
    </w:p>
    <w:p>
      <w:pPr>
        <w:pStyle w:val="Normal"/>
        <w:widowControl w:val="false"/>
        <w:spacing w:lineRule="auto" w:line="360"/>
        <w:rPr>
          <w:rFonts w:eastAsia="PMingLiU"/>
          <w:lang w:eastAsia="en-US"/>
        </w:rPr>
      </w:pPr>
      <w:r>
        <w:rPr>
          <w:rFonts w:eastAsia="PMingLiU"/>
          <w:lang w:eastAsia="en-US"/>
        </w:rPr>
      </w:r>
    </w:p>
    <w:p>
      <w:pPr>
        <w:pStyle w:val="Normal"/>
        <w:widowControl w:val="false"/>
        <w:spacing w:lineRule="auto" w:line="360"/>
        <w:rPr>
          <w:rFonts w:eastAsia="PMingLiU"/>
          <w:lang w:eastAsia="en-US"/>
        </w:rPr>
      </w:pPr>
      <w:r>
        <w:rPr>
          <w:rFonts w:eastAsia="PMingLiU"/>
          <w:lang w:eastAsia="en-US"/>
        </w:rPr>
      </w:r>
    </w:p>
    <w:p>
      <w:pPr>
        <w:pStyle w:val="Normal"/>
        <w:widowControl w:val="false"/>
        <w:spacing w:lineRule="auto" w:line="360"/>
        <w:rPr>
          <w:rFonts w:eastAsia="PMingLiU"/>
          <w:highlight w:val="white"/>
          <w:lang w:eastAsia="en-US"/>
        </w:rPr>
      </w:pPr>
      <w:r>
        <w:rPr>
          <w:rFonts w:eastAsia="PMingLiU"/>
          <w:highlight w:val="white"/>
          <w:shd w:fill="FEFEFE" w:val="clear"/>
          <w:lang w:eastAsia="en-US"/>
        </w:rPr>
        <w:t>ПРИСЪСТВЕН ЛИСТ</w:t>
      </w:r>
    </w:p>
    <w:tbl>
      <w:tblPr>
        <w:tblW w:w="9082"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60" w:type="dxa"/>
          <w:left w:w="-10" w:type="dxa"/>
          <w:bottom w:w="0" w:type="dxa"/>
          <w:right w:w="0" w:type="dxa"/>
        </w:tblCellMar>
        <w:tblLook w:noVBand="0" w:val="0000" w:noHBand="0" w:lastColumn="0" w:firstColumn="0" w:lastRow="0" w:firstRow="0"/>
      </w:tblPr>
      <w:tblGrid>
        <w:gridCol w:w="435"/>
        <w:gridCol w:w="4517"/>
        <w:gridCol w:w="2289"/>
        <w:gridCol w:w="1840"/>
      </w:tblGrid>
      <w:tr>
        <w:trPr/>
        <w:tc>
          <w:tcPr>
            <w:tcW w:w="43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EFEFE" w:val="clear"/>
            <w:vAlign w:val="center"/>
          </w:tcPr>
          <w:p>
            <w:pPr>
              <w:pStyle w:val="Normal"/>
              <w:widowControl w:val="false"/>
              <w:spacing w:lineRule="auto" w:line="360"/>
              <w:jc w:val="center"/>
              <w:rPr>
                <w:rFonts w:eastAsia="PMingLiU"/>
                <w:highlight w:val="white"/>
                <w:highlight w:val="white"/>
                <w:lang w:eastAsia="en-US"/>
              </w:rPr>
            </w:pPr>
            <w:r>
              <w:rPr>
                <w:rFonts w:eastAsia="PMingLiU"/>
                <w:highlight w:val="white"/>
                <w:shd w:fill="FEFEFE" w:val="clear"/>
                <w:lang w:eastAsia="en-US"/>
              </w:rPr>
              <w:t>№</w:t>
            </w:r>
          </w:p>
        </w:tc>
        <w:tc>
          <w:tcPr>
            <w:tcW w:w="4517" w:type="dxa"/>
            <w:tcBorders>
              <w:top w:val="single" w:sz="8" w:space="0" w:color="000000"/>
              <w:bottom w:val="single" w:sz="8" w:space="0" w:color="000000"/>
              <w:right w:val="single" w:sz="8" w:space="0" w:color="000000"/>
              <w:insideH w:val="single" w:sz="8" w:space="0" w:color="000000"/>
              <w:insideV w:val="single" w:sz="8" w:space="0" w:color="000000"/>
            </w:tcBorders>
            <w:shd w:color="auto" w:fill="FEFEFE" w:val="clear"/>
            <w:vAlign w:val="center"/>
          </w:tcPr>
          <w:p>
            <w:pPr>
              <w:pStyle w:val="Normal"/>
              <w:widowControl w:val="false"/>
              <w:spacing w:lineRule="auto" w:line="360"/>
              <w:jc w:val="center"/>
              <w:rPr>
                <w:rFonts w:eastAsia="PMingLiU"/>
                <w:highlight w:val="white"/>
                <w:highlight w:val="white"/>
                <w:lang w:eastAsia="en-US"/>
              </w:rPr>
            </w:pPr>
            <w:r>
              <w:rPr>
                <w:rFonts w:eastAsia="PMingLiU"/>
                <w:highlight w:val="white"/>
                <w:shd w:fill="FEFEFE" w:val="clear"/>
                <w:lang w:eastAsia="en-US"/>
              </w:rPr>
              <w:t>Име и фамилия</w:t>
            </w:r>
          </w:p>
        </w:tc>
        <w:tc>
          <w:tcPr>
            <w:tcW w:w="2289" w:type="dxa"/>
            <w:tcBorders>
              <w:top w:val="single" w:sz="8" w:space="0" w:color="000000"/>
              <w:bottom w:val="single" w:sz="8" w:space="0" w:color="000000"/>
              <w:right w:val="single" w:sz="8" w:space="0" w:color="000000"/>
              <w:insideH w:val="single" w:sz="8" w:space="0" w:color="000000"/>
              <w:insideV w:val="single" w:sz="8" w:space="0" w:color="000000"/>
            </w:tcBorders>
            <w:shd w:color="auto" w:fill="FEFEFE" w:val="clear"/>
            <w:vAlign w:val="center"/>
          </w:tcPr>
          <w:p>
            <w:pPr>
              <w:pStyle w:val="Normal"/>
              <w:widowControl w:val="false"/>
              <w:spacing w:lineRule="auto" w:line="360"/>
              <w:jc w:val="center"/>
              <w:rPr>
                <w:rFonts w:eastAsia="PMingLiU"/>
                <w:highlight w:val="white"/>
                <w:highlight w:val="white"/>
                <w:lang w:eastAsia="en-US"/>
              </w:rPr>
            </w:pPr>
            <w:r>
              <w:rPr>
                <w:rFonts w:eastAsia="PMingLiU"/>
                <w:highlight w:val="white"/>
                <w:shd w:fill="FEFEFE" w:val="clear"/>
                <w:lang w:eastAsia="en-US"/>
              </w:rPr>
              <w:t>Длъжност</w:t>
            </w:r>
          </w:p>
        </w:tc>
        <w:tc>
          <w:tcPr>
            <w:tcW w:w="1840" w:type="dxa"/>
            <w:tcBorders>
              <w:top w:val="single" w:sz="8" w:space="0" w:color="000000"/>
              <w:bottom w:val="single" w:sz="8" w:space="0" w:color="000000"/>
              <w:right w:val="single" w:sz="8" w:space="0" w:color="000000"/>
              <w:insideH w:val="single" w:sz="8" w:space="0" w:color="000000"/>
              <w:insideV w:val="single" w:sz="8" w:space="0" w:color="000000"/>
            </w:tcBorders>
            <w:shd w:color="auto" w:fill="FEFEFE" w:val="clear"/>
            <w:vAlign w:val="center"/>
          </w:tcPr>
          <w:p>
            <w:pPr>
              <w:pStyle w:val="Normal"/>
              <w:widowControl w:val="false"/>
              <w:spacing w:lineRule="auto" w:line="360"/>
              <w:jc w:val="center"/>
              <w:rPr>
                <w:rFonts w:eastAsia="PMingLiU"/>
                <w:highlight w:val="white"/>
                <w:highlight w:val="white"/>
                <w:lang w:eastAsia="en-US"/>
              </w:rPr>
            </w:pPr>
            <w:r>
              <w:rPr>
                <w:rFonts w:eastAsia="PMingLiU"/>
                <w:highlight w:val="white"/>
                <w:shd w:fill="FEFEFE" w:val="clear"/>
                <w:lang w:eastAsia="en-US"/>
              </w:rPr>
              <w:t>Подпис</w:t>
            </w:r>
          </w:p>
        </w:tc>
      </w:tr>
      <w:tr>
        <w:trPr/>
        <w:tc>
          <w:tcPr>
            <w:tcW w:w="435" w:type="dxa"/>
            <w:tcBorders>
              <w:left w:val="single" w:sz="8" w:space="0" w:color="000000"/>
              <w:bottom w:val="single" w:sz="8" w:space="0" w:color="000000"/>
              <w:right w:val="single" w:sz="8" w:space="0" w:color="000000"/>
              <w:insideH w:val="single" w:sz="8" w:space="0" w:color="000000"/>
              <w:insideV w:val="single" w:sz="8" w:space="0" w:color="000000"/>
            </w:tcBorders>
            <w:shd w:color="auto" w:fill="FEFEFE" w:val="clear"/>
            <w:vAlign w:val="center"/>
          </w:tcPr>
          <w:p>
            <w:pPr>
              <w:pStyle w:val="Normal"/>
              <w:widowControl w:val="false"/>
              <w:spacing w:lineRule="auto" w:line="360"/>
              <w:jc w:val="center"/>
              <w:rPr>
                <w:rFonts w:eastAsia="PMingLiU"/>
                <w:highlight w:val="white"/>
                <w:highlight w:val="white"/>
                <w:lang w:eastAsia="en-US"/>
              </w:rPr>
            </w:pPr>
            <w:r>
              <w:rPr>
                <w:rFonts w:eastAsia="PMingLiU"/>
                <w:highlight w:val="white"/>
                <w:shd w:fill="FEFEFE" w:val="clear"/>
                <w:lang w:eastAsia="en-US"/>
              </w:rPr>
              <w:t>1.</w:t>
            </w:r>
          </w:p>
        </w:tc>
        <w:tc>
          <w:tcPr>
            <w:tcW w:w="4517" w:type="dxa"/>
            <w:tcBorders>
              <w:bottom w:val="single" w:sz="8" w:space="0" w:color="000000"/>
              <w:right w:val="single" w:sz="8" w:space="0" w:color="000000"/>
              <w:insideH w:val="single" w:sz="8" w:space="0" w:color="000000"/>
              <w:insideV w:val="single" w:sz="8" w:space="0" w:color="000000"/>
            </w:tcBorders>
            <w:shd w:color="auto" w:fill="FEFEFE" w:val="clear"/>
            <w:vAlign w:val="center"/>
          </w:tcPr>
          <w:p>
            <w:pPr>
              <w:pStyle w:val="Normal"/>
              <w:widowControl w:val="false"/>
              <w:spacing w:lineRule="auto" w:line="360"/>
              <w:jc w:val="center"/>
              <w:rPr>
                <w:rFonts w:eastAsia="PMingLiU"/>
                <w:highlight w:val="white"/>
                <w:highlight w:val="white"/>
                <w:lang w:eastAsia="en-US"/>
              </w:rPr>
            </w:pPr>
            <w:r>
              <w:rPr>
                <w:rFonts w:eastAsia="PMingLiU"/>
                <w:highlight w:val="white"/>
                <w:shd w:fill="FEFEFE" w:val="clear"/>
                <w:lang w:eastAsia="en-US"/>
              </w:rPr>
            </w:r>
          </w:p>
        </w:tc>
        <w:tc>
          <w:tcPr>
            <w:tcW w:w="2289" w:type="dxa"/>
            <w:tcBorders>
              <w:bottom w:val="single" w:sz="8" w:space="0" w:color="000000"/>
              <w:right w:val="single" w:sz="8" w:space="0" w:color="000000"/>
              <w:insideH w:val="single" w:sz="8" w:space="0" w:color="000000"/>
              <w:insideV w:val="single" w:sz="8" w:space="0" w:color="000000"/>
            </w:tcBorders>
            <w:shd w:color="auto" w:fill="FEFEFE" w:val="clear"/>
            <w:vAlign w:val="center"/>
          </w:tcPr>
          <w:p>
            <w:pPr>
              <w:pStyle w:val="Normal"/>
              <w:widowControl w:val="false"/>
              <w:spacing w:lineRule="auto" w:line="360"/>
              <w:jc w:val="center"/>
              <w:rPr>
                <w:rFonts w:eastAsia="PMingLiU"/>
                <w:highlight w:val="white"/>
                <w:highlight w:val="white"/>
                <w:lang w:eastAsia="en-US"/>
              </w:rPr>
            </w:pPr>
            <w:r>
              <w:rPr>
                <w:rFonts w:eastAsia="PMingLiU"/>
                <w:highlight w:val="white"/>
                <w:shd w:fill="FEFEFE" w:val="clear"/>
                <w:lang w:eastAsia="en-US"/>
              </w:rPr>
            </w:r>
          </w:p>
        </w:tc>
        <w:tc>
          <w:tcPr>
            <w:tcW w:w="1840" w:type="dxa"/>
            <w:tcBorders>
              <w:bottom w:val="single" w:sz="8" w:space="0" w:color="000000"/>
              <w:right w:val="single" w:sz="8" w:space="0" w:color="000000"/>
              <w:insideH w:val="single" w:sz="8" w:space="0" w:color="000000"/>
              <w:insideV w:val="single" w:sz="8" w:space="0" w:color="000000"/>
            </w:tcBorders>
            <w:shd w:color="auto" w:fill="FEFEFE" w:val="clear"/>
            <w:vAlign w:val="center"/>
          </w:tcPr>
          <w:p>
            <w:pPr>
              <w:pStyle w:val="Normal"/>
              <w:widowControl w:val="false"/>
              <w:spacing w:lineRule="auto" w:line="360"/>
              <w:jc w:val="center"/>
              <w:rPr>
                <w:rFonts w:eastAsia="PMingLiU"/>
                <w:highlight w:val="white"/>
                <w:highlight w:val="white"/>
                <w:lang w:eastAsia="en-US"/>
              </w:rPr>
            </w:pPr>
            <w:r>
              <w:rPr>
                <w:rFonts w:eastAsia="PMingLiU"/>
                <w:highlight w:val="white"/>
                <w:shd w:fill="FEFEFE" w:val="clear"/>
                <w:lang w:eastAsia="en-US"/>
              </w:rPr>
            </w:r>
          </w:p>
        </w:tc>
      </w:tr>
      <w:tr>
        <w:trPr/>
        <w:tc>
          <w:tcPr>
            <w:tcW w:w="435" w:type="dxa"/>
            <w:tcBorders>
              <w:left w:val="single" w:sz="8" w:space="0" w:color="000000"/>
              <w:bottom w:val="single" w:sz="8" w:space="0" w:color="000000"/>
              <w:right w:val="single" w:sz="8" w:space="0" w:color="000000"/>
              <w:insideH w:val="single" w:sz="8" w:space="0" w:color="000000"/>
              <w:insideV w:val="single" w:sz="8" w:space="0" w:color="000000"/>
            </w:tcBorders>
            <w:shd w:color="auto" w:fill="FEFEFE" w:val="clear"/>
            <w:vAlign w:val="center"/>
          </w:tcPr>
          <w:p>
            <w:pPr>
              <w:pStyle w:val="Normal"/>
              <w:widowControl w:val="false"/>
              <w:spacing w:lineRule="auto" w:line="360"/>
              <w:jc w:val="center"/>
              <w:rPr>
                <w:rFonts w:eastAsia="PMingLiU"/>
                <w:highlight w:val="white"/>
                <w:highlight w:val="white"/>
                <w:lang w:eastAsia="en-US"/>
              </w:rPr>
            </w:pPr>
            <w:r>
              <w:rPr>
                <w:rFonts w:eastAsia="PMingLiU"/>
                <w:highlight w:val="white"/>
                <w:shd w:fill="FEFEFE" w:val="clear"/>
                <w:lang w:eastAsia="en-US"/>
              </w:rPr>
              <w:t>2.</w:t>
            </w:r>
          </w:p>
        </w:tc>
        <w:tc>
          <w:tcPr>
            <w:tcW w:w="4517" w:type="dxa"/>
            <w:tcBorders>
              <w:bottom w:val="single" w:sz="8" w:space="0" w:color="000000"/>
              <w:right w:val="single" w:sz="8" w:space="0" w:color="000000"/>
              <w:insideH w:val="single" w:sz="8" w:space="0" w:color="000000"/>
              <w:insideV w:val="single" w:sz="8" w:space="0" w:color="000000"/>
            </w:tcBorders>
            <w:shd w:color="auto" w:fill="FEFEFE" w:val="clear"/>
            <w:vAlign w:val="center"/>
          </w:tcPr>
          <w:p>
            <w:pPr>
              <w:pStyle w:val="Normal"/>
              <w:widowControl w:val="false"/>
              <w:spacing w:lineRule="auto" w:line="360"/>
              <w:jc w:val="center"/>
              <w:rPr>
                <w:rFonts w:eastAsia="PMingLiU"/>
                <w:highlight w:val="white"/>
                <w:highlight w:val="white"/>
                <w:lang w:eastAsia="en-US"/>
              </w:rPr>
            </w:pPr>
            <w:r>
              <w:rPr>
                <w:rFonts w:eastAsia="PMingLiU"/>
                <w:highlight w:val="white"/>
                <w:shd w:fill="FEFEFE" w:val="clear"/>
                <w:lang w:eastAsia="en-US"/>
              </w:rPr>
            </w:r>
          </w:p>
        </w:tc>
        <w:tc>
          <w:tcPr>
            <w:tcW w:w="2289" w:type="dxa"/>
            <w:tcBorders>
              <w:bottom w:val="single" w:sz="8" w:space="0" w:color="000000"/>
              <w:right w:val="single" w:sz="8" w:space="0" w:color="000000"/>
              <w:insideH w:val="single" w:sz="8" w:space="0" w:color="000000"/>
              <w:insideV w:val="single" w:sz="8" w:space="0" w:color="000000"/>
            </w:tcBorders>
            <w:shd w:color="auto" w:fill="FEFEFE" w:val="clear"/>
            <w:vAlign w:val="center"/>
          </w:tcPr>
          <w:p>
            <w:pPr>
              <w:pStyle w:val="Normal"/>
              <w:widowControl w:val="false"/>
              <w:spacing w:lineRule="auto" w:line="360"/>
              <w:jc w:val="center"/>
              <w:rPr>
                <w:rFonts w:eastAsia="PMingLiU"/>
                <w:highlight w:val="white"/>
                <w:highlight w:val="white"/>
                <w:lang w:eastAsia="en-US"/>
              </w:rPr>
            </w:pPr>
            <w:r>
              <w:rPr>
                <w:rFonts w:eastAsia="PMingLiU"/>
                <w:highlight w:val="white"/>
                <w:shd w:fill="FEFEFE" w:val="clear"/>
                <w:lang w:eastAsia="en-US"/>
              </w:rPr>
            </w:r>
          </w:p>
        </w:tc>
        <w:tc>
          <w:tcPr>
            <w:tcW w:w="1840" w:type="dxa"/>
            <w:tcBorders>
              <w:bottom w:val="single" w:sz="8" w:space="0" w:color="000000"/>
              <w:right w:val="single" w:sz="8" w:space="0" w:color="000000"/>
              <w:insideH w:val="single" w:sz="8" w:space="0" w:color="000000"/>
              <w:insideV w:val="single" w:sz="8" w:space="0" w:color="000000"/>
            </w:tcBorders>
            <w:shd w:color="auto" w:fill="FEFEFE" w:val="clear"/>
            <w:vAlign w:val="center"/>
          </w:tcPr>
          <w:p>
            <w:pPr>
              <w:pStyle w:val="Normal"/>
              <w:widowControl w:val="false"/>
              <w:spacing w:lineRule="auto" w:line="360"/>
              <w:jc w:val="center"/>
              <w:rPr>
                <w:rFonts w:eastAsia="PMingLiU"/>
                <w:highlight w:val="white"/>
                <w:highlight w:val="white"/>
                <w:lang w:eastAsia="en-US"/>
              </w:rPr>
            </w:pPr>
            <w:r>
              <w:rPr>
                <w:rFonts w:eastAsia="PMingLiU"/>
                <w:highlight w:val="white"/>
                <w:shd w:fill="FEFEFE" w:val="clear"/>
                <w:lang w:eastAsia="en-US"/>
              </w:rPr>
            </w:r>
          </w:p>
        </w:tc>
      </w:tr>
      <w:tr>
        <w:trPr/>
        <w:tc>
          <w:tcPr>
            <w:tcW w:w="435" w:type="dxa"/>
            <w:tcBorders>
              <w:left w:val="single" w:sz="8" w:space="0" w:color="000000"/>
              <w:bottom w:val="single" w:sz="8" w:space="0" w:color="000000"/>
              <w:right w:val="single" w:sz="8" w:space="0" w:color="000000"/>
              <w:insideH w:val="single" w:sz="8" w:space="0" w:color="000000"/>
              <w:insideV w:val="single" w:sz="8" w:space="0" w:color="000000"/>
            </w:tcBorders>
            <w:shd w:color="auto" w:fill="FEFEFE" w:val="clear"/>
            <w:vAlign w:val="center"/>
          </w:tcPr>
          <w:p>
            <w:pPr>
              <w:pStyle w:val="Normal"/>
              <w:widowControl w:val="false"/>
              <w:spacing w:lineRule="auto" w:line="360"/>
              <w:jc w:val="center"/>
              <w:rPr>
                <w:rFonts w:eastAsia="PMingLiU"/>
                <w:highlight w:val="white"/>
                <w:highlight w:val="white"/>
                <w:lang w:eastAsia="en-US"/>
              </w:rPr>
            </w:pPr>
            <w:r>
              <w:rPr>
                <w:rFonts w:eastAsia="PMingLiU"/>
                <w:highlight w:val="white"/>
                <w:shd w:fill="FEFEFE" w:val="clear"/>
                <w:lang w:eastAsia="en-US"/>
              </w:rPr>
              <w:t>3.</w:t>
            </w:r>
          </w:p>
        </w:tc>
        <w:tc>
          <w:tcPr>
            <w:tcW w:w="4517" w:type="dxa"/>
            <w:tcBorders>
              <w:bottom w:val="single" w:sz="8" w:space="0" w:color="000000"/>
              <w:right w:val="single" w:sz="8" w:space="0" w:color="000000"/>
              <w:insideH w:val="single" w:sz="8" w:space="0" w:color="000000"/>
              <w:insideV w:val="single" w:sz="8" w:space="0" w:color="000000"/>
            </w:tcBorders>
            <w:shd w:color="auto" w:fill="FEFEFE" w:val="clear"/>
            <w:vAlign w:val="center"/>
          </w:tcPr>
          <w:p>
            <w:pPr>
              <w:pStyle w:val="Normal"/>
              <w:widowControl w:val="false"/>
              <w:spacing w:lineRule="auto" w:line="360"/>
              <w:jc w:val="center"/>
              <w:rPr>
                <w:rFonts w:eastAsia="PMingLiU"/>
                <w:highlight w:val="white"/>
                <w:highlight w:val="white"/>
                <w:lang w:eastAsia="en-US"/>
              </w:rPr>
            </w:pPr>
            <w:r>
              <w:rPr>
                <w:rFonts w:eastAsia="PMingLiU"/>
                <w:highlight w:val="white"/>
                <w:shd w:fill="FEFEFE" w:val="clear"/>
                <w:lang w:eastAsia="en-US"/>
              </w:rPr>
            </w:r>
          </w:p>
        </w:tc>
        <w:tc>
          <w:tcPr>
            <w:tcW w:w="2289" w:type="dxa"/>
            <w:tcBorders>
              <w:bottom w:val="single" w:sz="8" w:space="0" w:color="000000"/>
              <w:right w:val="single" w:sz="8" w:space="0" w:color="000000"/>
              <w:insideH w:val="single" w:sz="8" w:space="0" w:color="000000"/>
              <w:insideV w:val="single" w:sz="8" w:space="0" w:color="000000"/>
            </w:tcBorders>
            <w:shd w:color="auto" w:fill="FEFEFE" w:val="clear"/>
            <w:vAlign w:val="center"/>
          </w:tcPr>
          <w:p>
            <w:pPr>
              <w:pStyle w:val="Normal"/>
              <w:widowControl w:val="false"/>
              <w:spacing w:lineRule="auto" w:line="360"/>
              <w:jc w:val="center"/>
              <w:rPr>
                <w:rFonts w:eastAsia="PMingLiU"/>
                <w:highlight w:val="white"/>
                <w:highlight w:val="white"/>
                <w:lang w:eastAsia="en-US"/>
              </w:rPr>
            </w:pPr>
            <w:r>
              <w:rPr>
                <w:rFonts w:eastAsia="PMingLiU"/>
                <w:highlight w:val="white"/>
                <w:shd w:fill="FEFEFE" w:val="clear"/>
                <w:lang w:eastAsia="en-US"/>
              </w:rPr>
            </w:r>
          </w:p>
        </w:tc>
        <w:tc>
          <w:tcPr>
            <w:tcW w:w="1840" w:type="dxa"/>
            <w:tcBorders>
              <w:bottom w:val="single" w:sz="8" w:space="0" w:color="000000"/>
              <w:right w:val="single" w:sz="8" w:space="0" w:color="000000"/>
              <w:insideH w:val="single" w:sz="8" w:space="0" w:color="000000"/>
              <w:insideV w:val="single" w:sz="8" w:space="0" w:color="000000"/>
            </w:tcBorders>
            <w:shd w:color="auto" w:fill="FEFEFE" w:val="clear"/>
            <w:vAlign w:val="center"/>
          </w:tcPr>
          <w:p>
            <w:pPr>
              <w:pStyle w:val="Normal"/>
              <w:widowControl w:val="false"/>
              <w:spacing w:lineRule="auto" w:line="360"/>
              <w:jc w:val="center"/>
              <w:rPr>
                <w:rFonts w:eastAsia="PMingLiU"/>
                <w:highlight w:val="white"/>
                <w:highlight w:val="white"/>
                <w:lang w:eastAsia="en-US"/>
              </w:rPr>
            </w:pPr>
            <w:r>
              <w:rPr>
                <w:rFonts w:eastAsia="PMingLiU"/>
                <w:highlight w:val="white"/>
                <w:shd w:fill="FEFEFE" w:val="clear"/>
                <w:lang w:eastAsia="en-US"/>
              </w:rPr>
            </w:r>
          </w:p>
        </w:tc>
      </w:tr>
    </w:tbl>
    <w:p>
      <w:pPr>
        <w:pStyle w:val="Normal"/>
        <w:widowControl w:val="false"/>
        <w:spacing w:lineRule="auto" w:line="360"/>
        <w:rPr>
          <w:rFonts w:eastAsia="PMingLiU"/>
          <w:lang w:eastAsia="en-US"/>
        </w:rPr>
      </w:pPr>
      <w:r>
        <w:rPr>
          <w:rFonts w:eastAsia="PMingLiU"/>
          <w:lang w:eastAsia="en-US"/>
        </w:rPr>
      </w:r>
    </w:p>
    <w:p>
      <w:pPr>
        <w:pStyle w:val="Normal"/>
        <w:widowControl w:val="false"/>
        <w:spacing w:lineRule="auto" w:line="360"/>
        <w:rPr>
          <w:rFonts w:eastAsia="PMingLiU"/>
          <w:lang w:eastAsia="en-US"/>
        </w:rPr>
      </w:pPr>
      <w:r>
        <w:rPr>
          <w:rFonts w:eastAsia="PMingLiU"/>
          <w:lang w:eastAsia="en-US"/>
        </w:rPr>
      </w:r>
    </w:p>
    <w:p>
      <w:pPr>
        <w:pStyle w:val="Normal"/>
        <w:widowControl w:val="false"/>
        <w:spacing w:lineRule="auto" w:line="360"/>
        <w:ind w:firstLine="480"/>
        <w:jc w:val="right"/>
        <w:rPr>
          <w:rFonts w:eastAsia="Times New Roman"/>
          <w:b/>
          <w:b/>
          <w:bCs/>
          <w:lang w:eastAsia="en-US"/>
        </w:rPr>
      </w:pPr>
      <w:r>
        <w:rPr>
          <w:rFonts w:eastAsia="Times New Roman"/>
          <w:b/>
          <w:bCs/>
          <w:lang w:eastAsia="en-US"/>
        </w:rPr>
      </w:r>
      <w:r>
        <w:br w:type="page"/>
      </w:r>
    </w:p>
    <w:p>
      <w:pPr>
        <w:pStyle w:val="Normal"/>
        <w:widowControl w:val="false"/>
        <w:spacing w:lineRule="auto" w:line="360"/>
        <w:ind w:firstLine="480"/>
        <w:jc w:val="right"/>
        <w:rPr>
          <w:rFonts w:eastAsia="PMingLiU"/>
          <w:bCs/>
          <w:lang w:eastAsia="en-US"/>
        </w:rPr>
      </w:pPr>
      <w:r>
        <w:rPr>
          <w:rFonts w:eastAsia="PMingLiU"/>
          <w:bCs/>
          <w:lang w:eastAsia="en-US"/>
        </w:rPr>
        <w:t xml:space="preserve">Приложение № 4 </w:t>
        <w:br/>
      </w:r>
      <w:r>
        <w:rPr>
          <w:rFonts w:eastAsia="PMingLiU"/>
          <w:lang w:eastAsia="en-US"/>
        </w:rPr>
        <w:t xml:space="preserve">към чл. 11, ал. 3 </w:t>
      </w:r>
    </w:p>
    <w:p>
      <w:pPr>
        <w:pStyle w:val="Normal"/>
        <w:widowControl w:val="false"/>
        <w:spacing w:lineRule="auto" w:line="360"/>
        <w:ind w:firstLine="480"/>
        <w:jc w:val="both"/>
        <w:rPr>
          <w:rFonts w:eastAsia="PMingLiU"/>
          <w:lang w:eastAsia="en-US"/>
        </w:rPr>
      </w:pPr>
      <w:r>
        <w:rPr>
          <w:rFonts w:eastAsia="PMingLiU"/>
          <w:lang w:eastAsia="en-US"/>
        </w:rPr>
      </w:r>
    </w:p>
    <w:p>
      <w:pPr>
        <w:pStyle w:val="Normal"/>
        <w:widowControl w:val="false"/>
        <w:spacing w:lineRule="auto" w:line="360"/>
        <w:jc w:val="center"/>
        <w:rPr>
          <w:rFonts w:ascii="Times New Roman Bold" w:hAnsi="Times New Roman Bold" w:eastAsia="PMingLiU"/>
          <w:b/>
          <w:b/>
          <w:caps/>
          <w:spacing w:val="70"/>
          <w:lang w:eastAsia="en-US"/>
        </w:rPr>
      </w:pPr>
      <w:r>
        <w:rPr>
          <w:rFonts w:eastAsia="PMingLiU" w:ascii="Times New Roman Bold" w:hAnsi="Times New Roman Bold"/>
          <w:b/>
          <w:caps/>
          <w:spacing w:val="70"/>
          <w:lang w:eastAsia="en-US"/>
        </w:rPr>
        <w:t>ДЕКЛАРАЦИЯ ЗА ВЪЗРАЖЕНИЕ</w:t>
      </w:r>
    </w:p>
    <w:p>
      <w:pPr>
        <w:pStyle w:val="Normal"/>
        <w:widowControl w:val="false"/>
        <w:spacing w:lineRule="auto" w:line="360"/>
        <w:ind w:firstLine="480"/>
        <w:jc w:val="both"/>
        <w:rPr>
          <w:rFonts w:eastAsia="PMingLiU"/>
          <w:lang w:eastAsia="en-US"/>
        </w:rPr>
      </w:pPr>
      <w:r>
        <w:rPr>
          <w:rFonts w:eastAsia="PMingLiU"/>
          <w:lang w:eastAsia="en-US"/>
        </w:rPr>
      </w:r>
    </w:p>
    <w:p>
      <w:pPr>
        <w:pStyle w:val="Normal"/>
        <w:widowControl w:val="false"/>
        <w:spacing w:lineRule="auto" w:line="360"/>
        <w:jc w:val="both"/>
        <w:rPr>
          <w:rFonts w:eastAsia="PMingLiU"/>
          <w:lang w:eastAsia="en-US"/>
        </w:rPr>
      </w:pPr>
      <w:r>
        <w:rPr>
          <w:rFonts w:eastAsia="PMingLiU"/>
          <w:lang w:eastAsia="en-US"/>
        </w:rPr>
        <w:t>1. НАИМЕНОВАНИЕ НА ПРОДУКТА</w:t>
      </w:r>
    </w:p>
    <w:p>
      <w:pPr>
        <w:pStyle w:val="Normal"/>
        <w:widowControl w:val="false"/>
        <w:spacing w:lineRule="auto" w:line="360" w:before="120" w:after="0"/>
        <w:jc w:val="both"/>
        <w:rPr>
          <w:rFonts w:eastAsia="PMingLiU"/>
          <w:lang w:eastAsia="en-US"/>
        </w:rPr>
      </w:pPr>
      <w:r>
        <w:rPr>
          <w:rFonts w:eastAsia="PMingLiU"/>
          <w:lang w:eastAsia="en-US"/>
        </w:rPr>
        <w:t>2. ДАННИ ЗА КОНТАКТ</w:t>
      </w:r>
    </w:p>
    <w:p>
      <w:pPr>
        <w:pStyle w:val="Normal"/>
        <w:widowControl w:val="false"/>
        <w:spacing w:lineRule="auto" w:line="360"/>
        <w:ind w:left="227" w:hanging="0"/>
        <w:jc w:val="both"/>
        <w:rPr>
          <w:rFonts w:eastAsia="PMingLiU"/>
          <w:lang w:eastAsia="en-US"/>
        </w:rPr>
      </w:pPr>
      <w:r>
        <w:rPr>
          <w:rFonts w:eastAsia="PMingLiU"/>
          <w:lang w:eastAsia="en-US"/>
        </w:rPr>
        <w:t>Лице за контакт:</w:t>
      </w:r>
    </w:p>
    <w:p>
      <w:pPr>
        <w:pStyle w:val="Normal"/>
        <w:widowControl w:val="false"/>
        <w:spacing w:lineRule="auto" w:line="360"/>
        <w:ind w:left="227" w:hanging="0"/>
        <w:jc w:val="both"/>
        <w:rPr>
          <w:rFonts w:eastAsia="PMingLiU"/>
          <w:lang w:eastAsia="en-US"/>
        </w:rPr>
      </w:pPr>
      <w:r>
        <w:rPr>
          <w:rFonts w:eastAsia="PMingLiU"/>
          <w:lang w:eastAsia="en-US"/>
        </w:rPr>
        <w:t>Група/организация/физическо лице:</w:t>
      </w:r>
    </w:p>
    <w:p>
      <w:pPr>
        <w:pStyle w:val="Normal"/>
        <w:widowControl w:val="false"/>
        <w:spacing w:lineRule="auto" w:line="360"/>
        <w:ind w:left="227" w:hanging="0"/>
        <w:jc w:val="both"/>
        <w:rPr>
          <w:rFonts w:eastAsia="PMingLiU"/>
          <w:lang w:eastAsia="en-US"/>
        </w:rPr>
      </w:pPr>
      <w:r>
        <w:rPr>
          <w:rFonts w:eastAsia="PMingLiU"/>
          <w:lang w:eastAsia="en-US"/>
        </w:rPr>
        <w:t>Адрес:</w:t>
      </w:r>
    </w:p>
    <w:p>
      <w:pPr>
        <w:pStyle w:val="Normal"/>
        <w:widowControl w:val="false"/>
        <w:spacing w:lineRule="auto" w:line="360"/>
        <w:ind w:left="227" w:hanging="0"/>
        <w:jc w:val="both"/>
        <w:rPr>
          <w:rFonts w:eastAsia="PMingLiU"/>
          <w:lang w:eastAsia="en-US"/>
        </w:rPr>
      </w:pPr>
      <w:r>
        <w:rPr>
          <w:rFonts w:eastAsia="PMingLiU"/>
          <w:lang w:eastAsia="en-US"/>
        </w:rPr>
        <w:t>Телефон:</w:t>
      </w:r>
    </w:p>
    <w:p>
      <w:pPr>
        <w:pStyle w:val="Normal"/>
        <w:widowControl w:val="false"/>
        <w:spacing w:lineRule="auto" w:line="360"/>
        <w:ind w:left="227" w:hanging="0"/>
        <w:jc w:val="both"/>
        <w:rPr>
          <w:rFonts w:eastAsia="PMingLiU"/>
          <w:lang w:eastAsia="en-US"/>
        </w:rPr>
      </w:pPr>
      <w:r>
        <w:rPr>
          <w:rFonts w:eastAsia="PMingLiU"/>
          <w:lang w:eastAsia="en-US"/>
        </w:rPr>
        <w:t>e-mail адрес:</w:t>
      </w:r>
    </w:p>
    <w:p>
      <w:pPr>
        <w:pStyle w:val="Normal"/>
        <w:widowControl w:val="false"/>
        <w:spacing w:lineRule="auto" w:line="360" w:before="120" w:after="0"/>
        <w:jc w:val="both"/>
        <w:rPr>
          <w:rFonts w:eastAsia="PMingLiU"/>
          <w:lang w:eastAsia="en-US"/>
        </w:rPr>
      </w:pPr>
      <w:r>
        <w:rPr>
          <w:rFonts w:eastAsia="PMingLiU"/>
          <w:lang w:eastAsia="en-US"/>
        </w:rPr>
        <w:t>3. ОСНОВАНИЯ ЗА ВЪЗРАЖЕНИЕТО:</w:t>
      </w:r>
    </w:p>
    <w:p>
      <w:pPr>
        <w:pStyle w:val="Normal"/>
        <w:widowControl w:val="false"/>
        <w:spacing w:lineRule="auto" w:line="360"/>
        <w:ind w:firstLine="284"/>
        <w:jc w:val="both"/>
        <w:rPr>
          <w:rFonts w:eastAsia="PMingLiU"/>
          <w:lang w:eastAsia="en-US"/>
        </w:rPr>
      </w:pPr>
      <w:r>
        <w:rPr>
          <w:rFonts w:eastAsia="PMingLiU"/>
          <w:lang w:eastAsia="en-US"/>
        </w:rPr>
        <w:t>- Неспазване на условията, установени в член 5 и член 7, параграф 1 от Регламент (ЕС) № 1151/2012</w:t>
      </w:r>
    </w:p>
    <w:p>
      <w:pPr>
        <w:pStyle w:val="Normal"/>
        <w:widowControl w:val="false"/>
        <w:spacing w:lineRule="auto" w:line="360"/>
        <w:ind w:firstLine="284"/>
        <w:jc w:val="both"/>
        <w:rPr>
          <w:rFonts w:eastAsia="PMingLiU"/>
          <w:lang w:eastAsia="en-US"/>
        </w:rPr>
      </w:pPr>
      <w:r>
        <w:rPr>
          <w:rFonts w:eastAsia="PMingLiU"/>
          <w:lang w:eastAsia="en-US"/>
        </w:rPr>
        <w:t>- Регистрацията на наименованието би била в противоречие с член 6, параграф 2 от Регламент (ЕС) № 1151/2012 (сорт растения или порода животни)</w:t>
      </w:r>
    </w:p>
    <w:p>
      <w:pPr>
        <w:pStyle w:val="Normal"/>
        <w:widowControl w:val="false"/>
        <w:spacing w:lineRule="auto" w:line="360"/>
        <w:ind w:firstLine="284"/>
        <w:jc w:val="both"/>
        <w:rPr>
          <w:rFonts w:eastAsia="PMingLiU"/>
          <w:lang w:eastAsia="en-US"/>
        </w:rPr>
      </w:pPr>
      <w:r>
        <w:rPr>
          <w:rFonts w:eastAsia="PMingLiU"/>
          <w:lang w:eastAsia="en-US"/>
        </w:rPr>
        <w:t>- Регистрацията на наименованието би била в противоречие с член 6, параграф 3 от Регламент (ЕС) № 1151/2012 (наименованието е пълен или частичен омоним)</w:t>
      </w:r>
    </w:p>
    <w:p>
      <w:pPr>
        <w:pStyle w:val="Normal"/>
        <w:widowControl w:val="false"/>
        <w:spacing w:lineRule="auto" w:line="360"/>
        <w:ind w:firstLine="284"/>
        <w:jc w:val="both"/>
        <w:rPr>
          <w:rFonts w:eastAsia="PMingLiU"/>
          <w:lang w:eastAsia="en-US"/>
        </w:rPr>
      </w:pPr>
      <w:r>
        <w:rPr>
          <w:rFonts w:eastAsia="PMingLiU"/>
          <w:lang w:eastAsia="en-US"/>
        </w:rPr>
        <w:t>- Регистрацията на наименованието би била в противоречие с член 6, параграф 4 от Регламент (ЕС) № 1151/2012 (съществуваща търговска марка)</w:t>
      </w:r>
    </w:p>
    <w:p>
      <w:pPr>
        <w:pStyle w:val="Normal"/>
        <w:widowControl w:val="false"/>
        <w:spacing w:lineRule="auto" w:line="360"/>
        <w:ind w:firstLine="284"/>
        <w:jc w:val="both"/>
        <w:rPr>
          <w:rFonts w:eastAsia="PMingLiU"/>
          <w:lang w:eastAsia="en-US"/>
        </w:rPr>
      </w:pPr>
      <w:r>
        <w:rPr>
          <w:rFonts w:eastAsia="PMingLiU"/>
          <w:lang w:eastAsia="en-US"/>
        </w:rPr>
        <w:t>- Регистрацията би застрашила съществуването на наименования, търговски марки или продукти, посочени в член 10, параграф 1, буква в) от Регламент (ЕС) № 1151/2012</w:t>
      </w:r>
    </w:p>
    <w:p>
      <w:pPr>
        <w:pStyle w:val="Normal"/>
        <w:widowControl w:val="false"/>
        <w:spacing w:lineRule="auto" w:line="360"/>
        <w:ind w:firstLine="284"/>
        <w:jc w:val="both"/>
        <w:rPr>
          <w:rFonts w:eastAsia="PMingLiU"/>
          <w:lang w:eastAsia="en-US"/>
        </w:rPr>
      </w:pPr>
      <w:r>
        <w:rPr>
          <w:rFonts w:eastAsia="PMingLiU"/>
          <w:lang w:eastAsia="en-US"/>
        </w:rPr>
        <w:t xml:space="preserve">- Наименованието, предложено за регистрация, е родово; необходимо е да се предоставят данни съгласно член 10, параграф 1, буква г) от Регламент (ЕС) </w:t>
      </w:r>
      <w:r>
        <w:rPr>
          <w:rFonts w:eastAsia="PMingLiU"/>
          <w:lang w:val="ru-RU" w:eastAsia="en-US"/>
        </w:rPr>
        <w:t xml:space="preserve">                </w:t>
      </w:r>
      <w:bookmarkStart w:id="0" w:name="_GoBack"/>
      <w:bookmarkEnd w:id="0"/>
      <w:r>
        <w:rPr>
          <w:rFonts w:eastAsia="PMingLiU"/>
          <w:lang w:eastAsia="en-US"/>
        </w:rPr>
        <w:t>№ 1151/2012.</w:t>
      </w:r>
    </w:p>
    <w:p>
      <w:pPr>
        <w:pStyle w:val="Normal"/>
        <w:widowControl w:val="false"/>
        <w:spacing w:lineRule="auto" w:line="360" w:before="120" w:after="0"/>
        <w:jc w:val="both"/>
        <w:rPr>
          <w:rFonts w:eastAsia="PMingLiU"/>
          <w:lang w:eastAsia="en-US"/>
        </w:rPr>
      </w:pPr>
      <w:r>
        <w:rPr>
          <w:rFonts w:eastAsia="PMingLiU"/>
          <w:lang w:eastAsia="en-US"/>
        </w:rPr>
        <w:t>4. ПОДРОБНОСТИ ОТНОСНО ВЪЗРАЖЕНИЕТО</w:t>
      </w:r>
    </w:p>
    <w:p>
      <w:pPr>
        <w:pStyle w:val="Normal"/>
        <w:widowControl w:val="false"/>
        <w:spacing w:lineRule="auto" w:line="360"/>
        <w:ind w:firstLine="720"/>
        <w:jc w:val="both"/>
        <w:rPr>
          <w:rFonts w:eastAsia="PMingLiU"/>
          <w:lang w:eastAsia="en-US"/>
        </w:rPr>
      </w:pPr>
      <w:r>
        <w:rPr>
          <w:rFonts w:eastAsia="PMingLiU"/>
          <w:lang w:eastAsia="en-US"/>
        </w:rPr>
        <w:t>Посочете причините и основанието за възражението. Също така</w:t>
      </w:r>
      <w:r>
        <w:rPr>
          <w:rFonts w:eastAsia="PMingLiU"/>
          <w:color w:val="FF0000"/>
          <w:lang w:eastAsia="en-US"/>
        </w:rPr>
        <w:t xml:space="preserve"> </w:t>
      </w:r>
      <w:r>
        <w:rPr>
          <w:rFonts w:eastAsia="PMingLiU"/>
          <w:lang w:eastAsia="en-US"/>
        </w:rPr>
        <w:t>обяснете в какво се състои правния интерес на подаващия възражение. Тази декларация трябва да бъде подписана и датирана.</w:t>
      </w:r>
    </w:p>
    <w:p>
      <w:pPr>
        <w:pStyle w:val="Normal"/>
        <w:widowControl w:val="false"/>
        <w:spacing w:lineRule="auto" w:line="360"/>
        <w:ind w:firstLine="480"/>
        <w:jc w:val="both"/>
        <w:rPr>
          <w:rFonts w:eastAsia="PMingLiU"/>
          <w:lang w:eastAsia="en-US"/>
        </w:rPr>
      </w:pPr>
      <w:r>
        <w:rPr>
          <w:rFonts w:eastAsia="PMingLiU"/>
          <w:lang w:eastAsia="en-US"/>
        </w:rPr>
      </w:r>
    </w:p>
    <w:p>
      <w:pPr>
        <w:pStyle w:val="Normal"/>
        <w:widowControl w:val="false"/>
        <w:spacing w:lineRule="auto" w:line="360"/>
        <w:ind w:firstLine="480"/>
        <w:jc w:val="both"/>
        <w:rPr>
          <w:rFonts w:eastAsia="PMingLiU"/>
          <w:lang w:eastAsia="en-US"/>
        </w:rPr>
      </w:pPr>
      <w:r>
        <w:rPr>
          <w:rFonts w:eastAsia="PMingLiU"/>
          <w:lang w:eastAsia="en-US"/>
        </w:rPr>
      </w:r>
    </w:p>
    <w:p>
      <w:pPr>
        <w:pStyle w:val="Normal"/>
        <w:spacing w:lineRule="auto" w:line="360"/>
        <w:rPr>
          <w:rFonts w:eastAsia="PMingLiU"/>
          <w:lang w:eastAsia="en-US"/>
        </w:rPr>
      </w:pPr>
      <w:r>
        <w:rPr>
          <w:rFonts w:eastAsia="PMingLiU"/>
          <w:lang w:eastAsia="en-US"/>
        </w:rPr>
        <w:t xml:space="preserve">ДАТА: </w:t>
        <w:tab/>
        <w:tab/>
        <w:tab/>
        <w:tab/>
        <w:tab/>
        <w:tab/>
        <w:tab/>
        <w:t xml:space="preserve">ДЕКЛАРАТОР:  </w:t>
      </w:r>
    </w:p>
    <w:p>
      <w:pPr>
        <w:pStyle w:val="Normal"/>
        <w:widowControl w:val="false"/>
        <w:spacing w:lineRule="auto" w:line="360"/>
        <w:jc w:val="center"/>
        <w:rPr>
          <w:rFonts w:eastAsia="Times New Roman"/>
          <w:bCs/>
          <w:lang w:eastAsia="en-US"/>
        </w:rPr>
      </w:pPr>
      <w:r>
        <w:rPr>
          <w:rFonts w:eastAsia="Times New Roman"/>
          <w:bCs/>
          <w:lang w:eastAsia="en-US"/>
        </w:rPr>
      </w:r>
      <w:r>
        <w:br w:type="page"/>
      </w:r>
    </w:p>
    <w:p>
      <w:pPr>
        <w:pStyle w:val="Normal"/>
        <w:widowControl w:val="false"/>
        <w:spacing w:lineRule="auto" w:line="360"/>
        <w:jc w:val="right"/>
        <w:rPr>
          <w:rFonts w:eastAsia="Times New Roman"/>
          <w:bCs/>
          <w:lang w:eastAsia="en-US"/>
        </w:rPr>
      </w:pPr>
      <w:r>
        <w:rPr>
          <w:bCs/>
          <w:lang w:eastAsia="en-US"/>
        </w:rPr>
        <w:t xml:space="preserve">Приложение № 5 </w:t>
      </w:r>
      <w:r>
        <w:rPr>
          <w:rFonts w:eastAsia="Times New Roman"/>
          <w:bCs/>
          <w:lang w:eastAsia="en-US"/>
        </w:rPr>
        <w:br/>
      </w:r>
      <w:r>
        <w:rPr>
          <w:bCs/>
          <w:lang w:eastAsia="en-US"/>
        </w:rPr>
        <w:t>към чл. 30, ал. 3</w:t>
      </w:r>
    </w:p>
    <w:p>
      <w:pPr>
        <w:pStyle w:val="Normal"/>
        <w:widowControl w:val="false"/>
        <w:spacing w:lineRule="auto" w:line="360"/>
        <w:jc w:val="both"/>
        <w:rPr>
          <w:rFonts w:eastAsia="Times New Roman"/>
          <w:bCs/>
          <w:lang w:eastAsia="en-US"/>
        </w:rPr>
      </w:pPr>
      <w:r>
        <w:rPr>
          <w:rFonts w:eastAsia="Times New Roman"/>
          <w:bCs/>
          <w:lang w:eastAsia="en-US"/>
        </w:rPr>
      </w:r>
    </w:p>
    <w:p>
      <w:pPr>
        <w:pStyle w:val="Normal"/>
        <w:widowControl w:val="false"/>
        <w:spacing w:lineRule="auto" w:line="360"/>
        <w:jc w:val="center"/>
        <w:rPr>
          <w:rFonts w:ascii="Times New Roman Bold" w:hAnsi="Times New Roman Bold" w:eastAsia="PMingLiU"/>
          <w:b/>
          <w:b/>
          <w:caps/>
          <w:spacing w:val="70"/>
          <w:lang w:eastAsia="en-US"/>
        </w:rPr>
      </w:pPr>
      <w:r>
        <w:rPr>
          <w:rFonts w:eastAsia="PMingLiU" w:ascii="Times New Roman Bold" w:hAnsi="Times New Roman Bold"/>
          <w:b/>
          <w:caps/>
          <w:spacing w:val="70"/>
          <w:lang w:eastAsia="en-US"/>
        </w:rPr>
        <w:t>ДЕКЛАРАЦИЯ ЗА ВЪЗРАЖЕНИЕ</w:t>
      </w:r>
    </w:p>
    <w:p>
      <w:pPr>
        <w:pStyle w:val="Normal"/>
        <w:widowControl w:val="false"/>
        <w:spacing w:lineRule="auto" w:line="360"/>
        <w:jc w:val="both"/>
        <w:rPr>
          <w:rFonts w:eastAsia="Times New Roman"/>
          <w:bCs/>
          <w:lang w:eastAsia="en-US"/>
        </w:rPr>
      </w:pPr>
      <w:r>
        <w:rPr>
          <w:rFonts w:eastAsia="Times New Roman"/>
          <w:bCs/>
          <w:lang w:eastAsia="en-US"/>
        </w:rPr>
      </w:r>
    </w:p>
    <w:p>
      <w:pPr>
        <w:pStyle w:val="Normal"/>
        <w:widowControl w:val="false"/>
        <w:spacing w:lineRule="auto" w:line="360" w:before="120" w:after="0"/>
        <w:jc w:val="both"/>
        <w:rPr>
          <w:rFonts w:eastAsia="Times New Roman"/>
          <w:bCs/>
          <w:lang w:eastAsia="en-US"/>
        </w:rPr>
      </w:pPr>
      <w:r>
        <w:rPr>
          <w:bCs/>
          <w:lang w:eastAsia="en-US"/>
        </w:rPr>
        <w:t>1. Наименование на продукта</w:t>
      </w:r>
    </w:p>
    <w:p>
      <w:pPr>
        <w:pStyle w:val="Normal"/>
        <w:widowControl w:val="false"/>
        <w:spacing w:lineRule="auto" w:line="360" w:before="120" w:after="0"/>
        <w:jc w:val="both"/>
        <w:rPr>
          <w:rFonts w:eastAsia="Times New Roman"/>
          <w:bCs/>
          <w:lang w:eastAsia="en-US"/>
        </w:rPr>
      </w:pPr>
      <w:r>
        <w:rPr>
          <w:bCs/>
          <w:lang w:eastAsia="en-US"/>
        </w:rPr>
        <w:t>2. Информация за контакт</w:t>
      </w:r>
    </w:p>
    <w:p>
      <w:pPr>
        <w:pStyle w:val="Normal"/>
        <w:widowControl w:val="false"/>
        <w:spacing w:lineRule="auto" w:line="360"/>
        <w:ind w:left="227" w:hanging="0"/>
        <w:jc w:val="both"/>
        <w:rPr>
          <w:rFonts w:eastAsia="Times New Roman"/>
          <w:bCs/>
          <w:lang w:eastAsia="en-US"/>
        </w:rPr>
      </w:pPr>
      <w:r>
        <w:rPr>
          <w:bCs/>
          <w:lang w:eastAsia="en-US"/>
        </w:rPr>
        <w:t xml:space="preserve">Лице за контакт: </w:t>
      </w:r>
    </w:p>
    <w:p>
      <w:pPr>
        <w:pStyle w:val="Normal"/>
        <w:widowControl w:val="false"/>
        <w:spacing w:lineRule="auto" w:line="360"/>
        <w:ind w:left="227" w:hanging="0"/>
        <w:jc w:val="both"/>
        <w:rPr>
          <w:rFonts w:eastAsia="Times New Roman"/>
          <w:bCs/>
          <w:lang w:eastAsia="en-US"/>
        </w:rPr>
      </w:pPr>
      <w:r>
        <w:rPr>
          <w:bCs/>
          <w:lang w:eastAsia="en-US"/>
        </w:rPr>
        <w:t>Група/организация/лице:</w:t>
      </w:r>
    </w:p>
    <w:p>
      <w:pPr>
        <w:pStyle w:val="Normal"/>
        <w:widowControl w:val="false"/>
        <w:spacing w:lineRule="auto" w:line="360"/>
        <w:ind w:left="227" w:hanging="0"/>
        <w:jc w:val="both"/>
        <w:rPr>
          <w:rFonts w:eastAsia="Times New Roman"/>
          <w:bCs/>
          <w:lang w:eastAsia="en-US"/>
        </w:rPr>
      </w:pPr>
      <w:r>
        <w:rPr>
          <w:bCs/>
          <w:lang w:eastAsia="en-US"/>
        </w:rPr>
        <w:t>Адрес:</w:t>
      </w:r>
    </w:p>
    <w:p>
      <w:pPr>
        <w:pStyle w:val="Normal"/>
        <w:widowControl w:val="false"/>
        <w:spacing w:lineRule="auto" w:line="360"/>
        <w:ind w:left="227" w:hanging="0"/>
        <w:jc w:val="both"/>
        <w:rPr>
          <w:rFonts w:eastAsia="Times New Roman"/>
          <w:bCs/>
          <w:lang w:eastAsia="en-US"/>
        </w:rPr>
      </w:pPr>
      <w:r>
        <w:rPr>
          <w:bCs/>
          <w:lang w:eastAsia="en-US"/>
        </w:rPr>
        <w:t xml:space="preserve">Телефон: </w:t>
      </w:r>
    </w:p>
    <w:p>
      <w:pPr>
        <w:pStyle w:val="Normal"/>
        <w:widowControl w:val="false"/>
        <w:spacing w:lineRule="auto" w:line="360"/>
        <w:ind w:left="227" w:hanging="0"/>
        <w:jc w:val="both"/>
        <w:rPr>
          <w:rFonts w:eastAsia="Times New Roman"/>
          <w:bCs/>
          <w:lang w:eastAsia="en-US"/>
        </w:rPr>
      </w:pPr>
      <w:r>
        <w:rPr>
          <w:bCs/>
          <w:lang w:eastAsia="en-US"/>
        </w:rPr>
        <w:t>Електронен адрес:</w:t>
      </w:r>
    </w:p>
    <w:p>
      <w:pPr>
        <w:pStyle w:val="Normal"/>
        <w:widowControl w:val="false"/>
        <w:spacing w:lineRule="auto" w:line="360" w:before="120" w:after="0"/>
        <w:jc w:val="both"/>
        <w:rPr>
          <w:rFonts w:eastAsia="Times New Roman"/>
          <w:bCs/>
          <w:lang w:eastAsia="en-US"/>
        </w:rPr>
      </w:pPr>
      <w:r>
        <w:rPr>
          <w:bCs/>
          <w:lang w:eastAsia="en-US"/>
        </w:rPr>
        <w:t>3. Причини за възражението:</w:t>
      </w:r>
    </w:p>
    <w:p>
      <w:pPr>
        <w:pStyle w:val="Normal"/>
        <w:widowControl w:val="false"/>
        <w:spacing w:lineRule="auto" w:line="360"/>
        <w:ind w:firstLine="284"/>
        <w:jc w:val="both"/>
        <w:rPr>
          <w:rFonts w:eastAsia="Times New Roman"/>
          <w:bCs/>
          <w:lang w:eastAsia="en-US"/>
        </w:rPr>
      </w:pPr>
      <w:r>
        <w:rPr>
          <w:bCs/>
          <w:lang w:eastAsia="en-US"/>
        </w:rPr>
        <w:t xml:space="preserve">- Неспазване на условията, установени в член 18 от Регламент (ЕС) № </w:t>
      </w:r>
      <w:r>
        <w:rPr>
          <w:rFonts w:eastAsia="Times New Roman"/>
          <w:bCs/>
          <w:lang w:eastAsia="en-US"/>
        </w:rPr>
        <w:t>1151/2012</w:t>
      </w:r>
    </w:p>
    <w:p>
      <w:pPr>
        <w:pStyle w:val="Normal"/>
        <w:widowControl w:val="false"/>
        <w:spacing w:lineRule="auto" w:line="360"/>
        <w:ind w:firstLine="284"/>
        <w:jc w:val="both"/>
        <w:rPr>
          <w:rFonts w:eastAsia="Times New Roman"/>
          <w:bCs/>
          <w:lang w:eastAsia="en-US"/>
        </w:rPr>
      </w:pPr>
      <w:r>
        <w:rPr>
          <w:bCs/>
          <w:lang w:eastAsia="en-US"/>
        </w:rPr>
        <w:t>- Регистрацията на наименованието би била несъвместима с условията на Регламент (ЕС) № 1151/2012 (член 21, параграф 1, буква а) от Регламент (ЕС) № 1151/2012)</w:t>
      </w:r>
    </w:p>
    <w:p>
      <w:pPr>
        <w:pStyle w:val="Normal"/>
        <w:widowControl w:val="false"/>
        <w:spacing w:lineRule="auto" w:line="360"/>
        <w:ind w:firstLine="284"/>
        <w:jc w:val="both"/>
        <w:rPr>
          <w:rFonts w:eastAsia="Times New Roman"/>
          <w:bCs/>
          <w:lang w:eastAsia="en-US"/>
        </w:rPr>
      </w:pPr>
      <w:r>
        <w:rPr>
          <w:bCs/>
          <w:lang w:eastAsia="en-US"/>
        </w:rPr>
        <w:t xml:space="preserve">- Наименованието, предлагано за регистрация, е законно, известно и икономически значимо за сходни селскостопански продукти или храни (член 21, параграф 1, буква б) от Регламент (ЕС) № 1151/2012). </w:t>
      </w:r>
    </w:p>
    <w:p>
      <w:pPr>
        <w:pStyle w:val="Normal"/>
        <w:widowControl w:val="false"/>
        <w:spacing w:lineRule="auto" w:line="360" w:before="120" w:after="0"/>
        <w:jc w:val="both"/>
        <w:rPr>
          <w:rFonts w:eastAsia="Times New Roman"/>
          <w:bCs/>
          <w:lang w:eastAsia="en-US"/>
        </w:rPr>
      </w:pPr>
      <w:r>
        <w:rPr>
          <w:bCs/>
          <w:lang w:eastAsia="en-US"/>
        </w:rPr>
        <w:t>4. Подробности за възражението</w:t>
      </w:r>
    </w:p>
    <w:p>
      <w:pPr>
        <w:pStyle w:val="Normal"/>
        <w:widowControl w:val="false"/>
        <w:spacing w:lineRule="auto" w:line="360"/>
        <w:ind w:firstLine="720"/>
        <w:jc w:val="both"/>
        <w:rPr>
          <w:rFonts w:eastAsia="PMingLiU"/>
          <w:lang w:eastAsia="en-US"/>
        </w:rPr>
      </w:pPr>
      <w:r>
        <w:rPr>
          <w:rFonts w:eastAsia="PMingLiU"/>
          <w:lang w:eastAsia="en-US"/>
        </w:rPr>
        <w:t>Представете изложение, което съдържа причините и обосновката на възражението. Представете и изложение, обосноваващо законния интерес на възразяващия. Изложението на възражението трябва да е подписано и с поставена дата.</w:t>
      </w:r>
    </w:p>
    <w:p>
      <w:pPr>
        <w:pStyle w:val="Normal"/>
        <w:widowControl w:val="false"/>
        <w:spacing w:lineRule="auto" w:line="360"/>
        <w:jc w:val="both"/>
        <w:rPr>
          <w:rFonts w:eastAsia="Times New Roman"/>
          <w:bCs/>
          <w:lang w:eastAsia="en-US"/>
        </w:rPr>
      </w:pPr>
      <w:r>
        <w:rPr>
          <w:rFonts w:eastAsia="Times New Roman"/>
          <w:bCs/>
          <w:lang w:eastAsia="en-US"/>
        </w:rPr>
      </w:r>
    </w:p>
    <w:p>
      <w:pPr>
        <w:pStyle w:val="Normal"/>
        <w:widowControl w:val="false"/>
        <w:spacing w:lineRule="auto" w:line="360"/>
        <w:jc w:val="both"/>
        <w:rPr>
          <w:rFonts w:eastAsia="Times New Roman"/>
          <w:bCs/>
          <w:lang w:eastAsia="en-US"/>
        </w:rPr>
      </w:pPr>
      <w:r>
        <w:rPr>
          <w:rFonts w:eastAsia="Times New Roman"/>
          <w:bCs/>
          <w:lang w:eastAsia="en-US"/>
        </w:rPr>
      </w:r>
    </w:p>
    <w:p>
      <w:pPr>
        <w:pStyle w:val="Normal"/>
        <w:widowControl w:val="false"/>
        <w:spacing w:lineRule="auto" w:line="360"/>
        <w:jc w:val="both"/>
        <w:rPr>
          <w:rFonts w:eastAsia="Times New Roman"/>
          <w:bCs/>
          <w:lang w:eastAsia="en-US"/>
        </w:rPr>
      </w:pPr>
      <w:r>
        <w:rPr>
          <w:rFonts w:eastAsia="Times New Roman"/>
          <w:bCs/>
          <w:lang w:eastAsia="en-US"/>
        </w:rPr>
      </w:r>
    </w:p>
    <w:p>
      <w:pPr>
        <w:pStyle w:val="Normal"/>
        <w:widowControl w:val="false"/>
        <w:spacing w:lineRule="auto" w:line="360"/>
        <w:jc w:val="both"/>
        <w:rPr>
          <w:rFonts w:eastAsia="Times New Roman"/>
          <w:bCs/>
          <w:lang w:eastAsia="en-US"/>
        </w:rPr>
      </w:pPr>
      <w:r>
        <w:rPr>
          <w:bCs/>
          <w:lang w:eastAsia="en-US"/>
        </w:rPr>
        <w:t>ДАТА:</w:t>
      </w:r>
      <w:r>
        <w:rPr>
          <w:rFonts w:eastAsia="Times New Roman"/>
          <w:bCs/>
          <w:lang w:eastAsia="en-US"/>
        </w:rPr>
        <w:t xml:space="preserve"> </w:t>
        <w:tab/>
        <w:tab/>
        <w:tab/>
        <w:tab/>
        <w:tab/>
        <w:tab/>
        <w:tab/>
      </w:r>
      <w:r>
        <w:rPr>
          <w:bCs/>
          <w:lang w:eastAsia="en-US"/>
        </w:rPr>
        <w:t xml:space="preserve">ДЕКЛАРАТОР:       </w:t>
      </w:r>
    </w:p>
    <w:p>
      <w:pPr>
        <w:pStyle w:val="Normal"/>
        <w:widowControl w:val="false"/>
        <w:spacing w:lineRule="auto" w:line="360"/>
        <w:rPr>
          <w:rFonts w:eastAsia="Times New Roman"/>
          <w:i/>
          <w:i/>
          <w:lang w:eastAsia="en-US"/>
        </w:rPr>
      </w:pPr>
      <w:r>
        <w:rPr>
          <w:rFonts w:eastAsia="Times New Roman"/>
          <w:i/>
          <w:lang w:eastAsia="en-US"/>
        </w:rPr>
      </w:r>
    </w:p>
    <w:p>
      <w:pPr>
        <w:pStyle w:val="Normal"/>
        <w:widowControl w:val="false"/>
        <w:spacing w:lineRule="auto" w:line="360"/>
        <w:rPr>
          <w:rFonts w:eastAsia="Times New Roman"/>
          <w:i/>
          <w:i/>
          <w:lang w:eastAsia="en-US"/>
        </w:rPr>
      </w:pPr>
      <w:r>
        <w:rPr>
          <w:rFonts w:eastAsia="Times New Roman"/>
          <w:i/>
          <w:lang w:eastAsia="en-US"/>
        </w:rPr>
      </w:r>
    </w:p>
    <w:p>
      <w:pPr>
        <w:pStyle w:val="Normal"/>
        <w:widowControl w:val="false"/>
        <w:spacing w:lineRule="auto" w:line="360"/>
        <w:rPr>
          <w:rFonts w:eastAsia="Times New Roman"/>
          <w:i/>
          <w:i/>
          <w:lang w:eastAsia="en-US"/>
        </w:rPr>
      </w:pPr>
      <w:r>
        <w:rPr>
          <w:rFonts w:eastAsia="Times New Roman"/>
          <w:i/>
          <w:lang w:eastAsia="en-US"/>
        </w:rPr>
      </w:r>
    </w:p>
    <w:p>
      <w:pPr>
        <w:pStyle w:val="Normal"/>
        <w:widowControl w:val="false"/>
        <w:spacing w:lineRule="auto" w:line="360"/>
        <w:rPr>
          <w:rFonts w:eastAsia="Times New Roman"/>
          <w:i/>
          <w:i/>
          <w:lang w:eastAsia="en-US"/>
        </w:rPr>
      </w:pPr>
      <w:r>
        <w:rPr>
          <w:rFonts w:eastAsia="Times New Roman"/>
          <w:i/>
          <w:lang w:eastAsia="en-US"/>
        </w:rPr>
      </w:r>
    </w:p>
    <w:p>
      <w:pPr>
        <w:pStyle w:val="Normal"/>
        <w:widowControl w:val="false"/>
        <w:spacing w:lineRule="auto" w:line="360"/>
        <w:rPr>
          <w:rFonts w:eastAsia="Times New Roman"/>
          <w:i/>
          <w:i/>
          <w:lang w:eastAsia="en-US"/>
        </w:rPr>
      </w:pPr>
      <w:r>
        <w:rPr>
          <w:rFonts w:eastAsia="Times New Roman"/>
          <w:i/>
          <w:lang w:eastAsia="en-US"/>
        </w:rPr>
      </w:r>
    </w:p>
    <w:p>
      <w:pPr>
        <w:pStyle w:val="Normal"/>
        <w:widowControl w:val="false"/>
        <w:spacing w:lineRule="auto" w:line="360"/>
        <w:ind w:firstLine="480"/>
        <w:jc w:val="right"/>
        <w:rPr>
          <w:lang w:eastAsia="en-US"/>
        </w:rPr>
      </w:pPr>
      <w:r>
        <w:rPr>
          <w:lang w:eastAsia="en-US"/>
        </w:rPr>
      </w:r>
    </w:p>
    <w:p>
      <w:pPr>
        <w:pStyle w:val="Normal"/>
        <w:widowControl w:val="false"/>
        <w:spacing w:lineRule="auto" w:line="360"/>
        <w:ind w:firstLine="480"/>
        <w:jc w:val="right"/>
        <w:rPr>
          <w:lang w:eastAsia="en-US"/>
        </w:rPr>
      </w:pPr>
      <w:r>
        <w:rPr>
          <w:lang w:eastAsia="en-US"/>
        </w:rPr>
      </w:r>
    </w:p>
    <w:p>
      <w:pPr>
        <w:pStyle w:val="Normal"/>
        <w:widowControl w:val="false"/>
        <w:spacing w:lineRule="auto" w:line="360"/>
        <w:ind w:firstLine="480"/>
        <w:jc w:val="right"/>
        <w:rPr>
          <w:rFonts w:eastAsia="Times New Roman"/>
          <w:strike/>
          <w:lang w:eastAsia="en-US"/>
        </w:rPr>
      </w:pPr>
      <w:r>
        <w:rPr>
          <w:lang w:eastAsia="en-US"/>
        </w:rPr>
        <w:t xml:space="preserve">Приложение № 6 </w:t>
      </w:r>
      <w:r>
        <w:rPr>
          <w:rFonts w:eastAsia="Times New Roman"/>
          <w:lang w:eastAsia="en-US"/>
        </w:rPr>
        <w:br/>
      </w:r>
      <w:r>
        <w:rPr>
          <w:lang w:eastAsia="en-US"/>
        </w:rPr>
        <w:t>към чл. 57, ал. 4 и чл. 60, ал. 4</w:t>
      </w:r>
    </w:p>
    <w:p>
      <w:pPr>
        <w:pStyle w:val="Normal"/>
        <w:widowControl w:val="false"/>
        <w:spacing w:lineRule="auto" w:line="360"/>
        <w:ind w:firstLine="480"/>
        <w:jc w:val="right"/>
        <w:rPr>
          <w:rFonts w:eastAsia="Times New Roman"/>
          <w:b/>
          <w:b/>
          <w:lang w:eastAsia="en-US"/>
        </w:rPr>
      </w:pPr>
      <w:r>
        <w:rPr>
          <w:rFonts w:eastAsia="Times New Roman"/>
          <w:b/>
          <w:lang w:eastAsia="en-US"/>
        </w:rPr>
        <w:t xml:space="preserve"> </w:t>
      </w:r>
    </w:p>
    <w:p>
      <w:pPr>
        <w:pStyle w:val="Normal"/>
        <w:widowControl w:val="false"/>
        <w:spacing w:lineRule="auto" w:line="360"/>
        <w:ind w:left="4248" w:firstLine="708"/>
        <w:jc w:val="both"/>
        <w:rPr>
          <w:rFonts w:eastAsia="Times New Roman"/>
          <w:b/>
          <w:b/>
          <w:lang w:eastAsia="en-US"/>
        </w:rPr>
      </w:pPr>
      <w:r>
        <w:rPr>
          <w:b/>
          <w:lang w:eastAsia="en-US"/>
        </w:rPr>
        <w:t>ДО</w:t>
      </w:r>
    </w:p>
    <w:p>
      <w:pPr>
        <w:pStyle w:val="Normal"/>
        <w:spacing w:lineRule="auto" w:line="360"/>
        <w:ind w:left="4956" w:hanging="0"/>
        <w:rPr>
          <w:rFonts w:eastAsia="Times New Roman"/>
          <w:b/>
          <w:b/>
          <w:lang w:eastAsia="en-US"/>
        </w:rPr>
      </w:pPr>
      <w:r>
        <w:rPr>
          <w:b/>
          <w:lang w:eastAsia="en-US"/>
        </w:rPr>
        <w:t>МИНИСТЪРА НА ЗЕМЕДЕЛИЕТО, ХРАНИТЕ И ГОРИТЕ</w:t>
      </w:r>
    </w:p>
    <w:p>
      <w:pPr>
        <w:pStyle w:val="Normal"/>
        <w:spacing w:lineRule="auto" w:line="360"/>
        <w:ind w:left="4956" w:hanging="0"/>
        <w:rPr>
          <w:rFonts w:eastAsia="Times New Roman"/>
          <w:b/>
          <w:b/>
          <w:lang w:eastAsia="en-US"/>
        </w:rPr>
      </w:pPr>
      <w:r>
        <w:rPr>
          <w:rFonts w:eastAsia="Times New Roman"/>
          <w:b/>
          <w:lang w:eastAsia="en-US"/>
        </w:rPr>
      </w:r>
    </w:p>
    <w:p>
      <w:pPr>
        <w:pStyle w:val="Normal"/>
        <w:spacing w:lineRule="auto" w:line="360"/>
        <w:jc w:val="center"/>
        <w:rPr>
          <w:rFonts w:ascii="Times New Roman Bold" w:hAnsi="Times New Roman Bold"/>
          <w:b/>
          <w:b/>
          <w:spacing w:val="90"/>
          <w:lang w:eastAsia="en-US"/>
        </w:rPr>
      </w:pPr>
      <w:r>
        <w:rPr>
          <w:rFonts w:ascii="Times New Roman Bold" w:hAnsi="Times New Roman Bold"/>
          <w:b/>
          <w:spacing w:val="90"/>
          <w:lang w:eastAsia="en-US"/>
        </w:rPr>
        <w:t>ЗАЯВЛЕНИЕ</w:t>
      </w:r>
    </w:p>
    <w:p>
      <w:pPr>
        <w:pStyle w:val="Normal"/>
        <w:jc w:val="both"/>
        <w:rPr>
          <w:rFonts w:eastAsia="Times New Roman"/>
          <w:b/>
          <w:b/>
          <w:lang w:eastAsia="en-US"/>
        </w:rPr>
      </w:pPr>
      <w:r>
        <w:rPr>
          <w:b/>
          <w:lang w:eastAsia="en-US"/>
        </w:rPr>
        <w:t>за вписване на производител на храни със защитени географски означения и храни с традиционно специфичен характер в регистъра по чл. 16, ал. 3 от Закона за прилагане на Общата организация на пазарите на земеделски продукти на Европейския съюз</w:t>
      </w:r>
    </w:p>
    <w:p>
      <w:pPr>
        <w:pStyle w:val="Normal"/>
        <w:spacing w:lineRule="auto" w:line="360"/>
        <w:jc w:val="both"/>
        <w:rPr>
          <w:rFonts w:ascii="Calibri" w:hAnsi="Calibri"/>
          <w:b/>
          <w:b/>
          <w:lang w:eastAsia="en-US"/>
        </w:rPr>
      </w:pPr>
      <w:r>
        <w:rPr>
          <w:rFonts w:ascii="Calibri" w:hAnsi="Calibri"/>
          <w:b/>
          <w:lang w:eastAsia="en-US"/>
        </w:rPr>
      </w:r>
    </w:p>
    <w:p>
      <w:pPr>
        <w:pStyle w:val="Normal"/>
        <w:spacing w:lineRule="auto" w:line="360"/>
        <w:rPr>
          <w:rFonts w:eastAsia="Times New Roman"/>
          <w:lang w:eastAsia="en-US"/>
        </w:rPr>
      </w:pPr>
      <w:r>
        <w:rPr>
          <w:color w:val="000000"/>
          <w:lang w:eastAsia="en-US"/>
        </w:rPr>
        <w:t>Данни на заявителя: (наименование и ЕИК)</w:t>
      </w:r>
    </w:p>
    <w:p>
      <w:pPr>
        <w:pStyle w:val="Normal"/>
        <w:spacing w:lineRule="auto" w:line="360"/>
        <w:rPr>
          <w:rFonts w:eastAsia="Times New Roman"/>
          <w:lang w:eastAsia="en-US"/>
        </w:rPr>
      </w:pPr>
      <w:r>
        <w:rPr>
          <w:lang w:eastAsia="en-US"/>
        </w:rPr>
        <w:t>представлявано от:</w:t>
      </w:r>
    </w:p>
    <w:p>
      <w:pPr>
        <w:pStyle w:val="Normal"/>
        <w:spacing w:lineRule="auto" w:line="360"/>
        <w:rPr>
          <w:rFonts w:eastAsia="Times New Roman"/>
          <w:lang w:eastAsia="en-US"/>
        </w:rPr>
      </w:pPr>
      <w:r>
        <w:rPr>
          <w:lang w:eastAsia="en-US"/>
        </w:rPr>
        <w:t>седалище и адрес на управление :</w:t>
      </w:r>
    </w:p>
    <w:p>
      <w:pPr>
        <w:pStyle w:val="Normal"/>
        <w:spacing w:lineRule="auto" w:line="360"/>
        <w:rPr>
          <w:rFonts w:eastAsia="Times New Roman"/>
          <w:lang w:eastAsia="en-US"/>
        </w:rPr>
      </w:pPr>
      <w:r>
        <w:rPr>
          <w:lang w:eastAsia="en-US"/>
        </w:rPr>
        <w:t>телефон:</w:t>
      </w:r>
    </w:p>
    <w:p>
      <w:pPr>
        <w:pStyle w:val="Normal"/>
        <w:spacing w:lineRule="auto" w:line="360"/>
        <w:rPr>
          <w:rFonts w:eastAsia="Times New Roman"/>
          <w:lang w:eastAsia="en-US"/>
        </w:rPr>
      </w:pPr>
      <w:r>
        <w:rPr>
          <w:lang w:eastAsia="en-US"/>
        </w:rPr>
        <w:t>електронен адрес:</w:t>
      </w:r>
    </w:p>
    <w:p>
      <w:pPr>
        <w:pStyle w:val="Normal"/>
        <w:spacing w:lineRule="auto" w:line="360"/>
        <w:rPr>
          <w:rFonts w:eastAsia="Times New Roman"/>
          <w:lang w:eastAsia="en-US"/>
        </w:rPr>
      </w:pPr>
      <w:r>
        <w:rPr>
          <w:rFonts w:eastAsia="Times New Roman"/>
          <w:lang w:eastAsia="en-US"/>
        </w:rPr>
      </w:r>
    </w:p>
    <w:p>
      <w:pPr>
        <w:pStyle w:val="Normal"/>
        <w:spacing w:lineRule="auto" w:line="360"/>
        <w:rPr>
          <w:rFonts w:eastAsia="Times New Roman"/>
          <w:b/>
          <w:b/>
          <w:caps/>
          <w:lang w:eastAsia="en-US"/>
        </w:rPr>
      </w:pPr>
      <w:r>
        <w:rPr>
          <w:b/>
          <w:caps/>
          <w:lang w:eastAsia="en-US"/>
        </w:rPr>
        <w:tab/>
        <w:t>Уважаеми господин министър,</w:t>
      </w:r>
    </w:p>
    <w:p>
      <w:pPr>
        <w:pStyle w:val="Normal"/>
        <w:spacing w:lineRule="auto" w:line="360"/>
        <w:jc w:val="both"/>
        <w:rPr>
          <w:rFonts w:eastAsia="Times New Roman"/>
          <w:lang w:eastAsia="en-US"/>
        </w:rPr>
      </w:pPr>
      <w:r>
        <w:rPr>
          <w:lang w:eastAsia="en-US"/>
        </w:rPr>
        <w:tab/>
        <w:t>Моля, ……………………………………. да бъде вписано в регистъра на производителите на:</w:t>
      </w:r>
    </w:p>
    <w:p>
      <w:pPr>
        <w:pStyle w:val="Normal"/>
        <w:spacing w:lineRule="auto" w:line="360"/>
        <w:rPr>
          <w:rFonts w:eastAsia="Times New Roman"/>
          <w:lang w:eastAsia="en-US"/>
        </w:rPr>
      </w:pPr>
      <w:r>
        <w:rPr>
          <w:rFonts w:eastAsia="Wingdings" w:cs="Wingdings" w:ascii="Wingdings" w:hAnsi="Wingdings"/>
          <w:lang w:eastAsia="en-US"/>
        </w:rPr>
        <w:t></w:t>
      </w:r>
      <w:r>
        <w:rPr>
          <w:lang w:eastAsia="en-US"/>
        </w:rPr>
        <w:t xml:space="preserve"> </w:t>
      </w:r>
      <w:r>
        <w:rPr>
          <w:lang w:eastAsia="en-US"/>
        </w:rPr>
        <w:t>ЗНП ……………………………………………………………………………………….</w:t>
      </w:r>
    </w:p>
    <w:p>
      <w:pPr>
        <w:pStyle w:val="Normal"/>
        <w:spacing w:lineRule="auto" w:line="360"/>
        <w:rPr>
          <w:rFonts w:eastAsia="Times New Roman"/>
          <w:lang w:eastAsia="en-US"/>
        </w:rPr>
      </w:pPr>
      <w:r>
        <w:rPr>
          <w:rFonts w:eastAsia="Times New Roman"/>
          <w:lang w:eastAsia="en-US"/>
        </w:rPr>
        <w:t xml:space="preserve">              ………………………………………………………………………………………</w:t>
      </w:r>
      <w:r>
        <w:rPr>
          <w:rFonts w:eastAsia="Times New Roman"/>
          <w:lang w:eastAsia="en-US"/>
        </w:rPr>
        <w:t>.</w:t>
      </w:r>
    </w:p>
    <w:p>
      <w:pPr>
        <w:pStyle w:val="Normal"/>
        <w:spacing w:lineRule="auto" w:line="360"/>
        <w:rPr>
          <w:rFonts w:eastAsia="Times New Roman"/>
          <w:lang w:eastAsia="en-US"/>
        </w:rPr>
      </w:pPr>
      <w:r>
        <w:rPr>
          <w:rFonts w:eastAsia="Wingdings" w:cs="Wingdings" w:ascii="Wingdings" w:hAnsi="Wingdings"/>
          <w:lang w:eastAsia="en-US"/>
        </w:rPr>
        <w:t></w:t>
      </w:r>
      <w:r>
        <w:rPr>
          <w:lang w:eastAsia="en-US"/>
        </w:rPr>
        <w:t xml:space="preserve"> </w:t>
      </w:r>
      <w:r>
        <w:rPr>
          <w:lang w:eastAsia="en-US"/>
        </w:rPr>
        <w:t>ЗГУ  ……………………………………………………………………………………….</w:t>
      </w:r>
    </w:p>
    <w:p>
      <w:pPr>
        <w:pStyle w:val="Normal"/>
        <w:spacing w:lineRule="auto" w:line="360"/>
        <w:rPr>
          <w:rFonts w:eastAsia="Times New Roman"/>
          <w:lang w:eastAsia="en-US"/>
        </w:rPr>
      </w:pPr>
      <w:r>
        <w:rPr>
          <w:rFonts w:eastAsia="Times New Roman"/>
          <w:lang w:eastAsia="en-US"/>
        </w:rPr>
        <w:t xml:space="preserve">              ………………………………………………………………………………………</w:t>
      </w:r>
      <w:r>
        <w:rPr>
          <w:rFonts w:eastAsia="Times New Roman"/>
          <w:lang w:eastAsia="en-US"/>
        </w:rPr>
        <w:t>.</w:t>
      </w:r>
    </w:p>
    <w:p>
      <w:pPr>
        <w:pStyle w:val="Normal"/>
        <w:spacing w:lineRule="auto" w:line="360"/>
        <w:rPr>
          <w:rFonts w:eastAsia="Times New Roman"/>
          <w:lang w:eastAsia="en-US"/>
        </w:rPr>
      </w:pPr>
      <w:r>
        <w:rPr>
          <w:rFonts w:eastAsia="Wingdings" w:cs="Wingdings" w:ascii="Wingdings" w:hAnsi="Wingdings"/>
          <w:lang w:eastAsia="en-US"/>
        </w:rPr>
        <w:t></w:t>
      </w:r>
      <w:r>
        <w:rPr>
          <w:lang w:eastAsia="en-US"/>
        </w:rPr>
        <w:t xml:space="preserve"> </w:t>
      </w:r>
      <w:r>
        <w:rPr>
          <w:lang w:eastAsia="en-US"/>
        </w:rPr>
        <w:t>ХТСХ ……………………………………………</w:t>
      </w:r>
      <w:r>
        <w:rPr>
          <w:rFonts w:eastAsia="Times New Roman"/>
          <w:lang w:eastAsia="en-US"/>
        </w:rPr>
        <w:t>………………………………………..</w:t>
      </w:r>
    </w:p>
    <w:p>
      <w:pPr>
        <w:pStyle w:val="Normal"/>
        <w:spacing w:lineRule="auto" w:line="360"/>
        <w:rPr>
          <w:rFonts w:eastAsia="Times New Roman"/>
          <w:lang w:eastAsia="en-US"/>
        </w:rPr>
      </w:pPr>
      <w:r>
        <w:rPr>
          <w:rFonts w:eastAsia="Times New Roman"/>
          <w:lang w:eastAsia="en-US"/>
        </w:rPr>
        <w:t xml:space="preserve">               ………………………………………………………………………………………</w:t>
      </w:r>
    </w:p>
    <w:p>
      <w:pPr>
        <w:pStyle w:val="Normal"/>
        <w:spacing w:lineRule="auto" w:line="360"/>
        <w:ind w:firstLine="720"/>
        <w:rPr>
          <w:rFonts w:eastAsia="Times New Roman"/>
          <w:lang w:eastAsia="en-US"/>
        </w:rPr>
      </w:pPr>
      <w:r>
        <w:rPr>
          <w:lang w:eastAsia="en-US"/>
        </w:rPr>
        <w:t>Прилагам следните документи:</w:t>
      </w:r>
    </w:p>
    <w:p>
      <w:pPr>
        <w:pStyle w:val="Normal"/>
        <w:spacing w:lineRule="auto" w:line="360"/>
        <w:ind w:firstLine="720"/>
        <w:rPr>
          <w:rFonts w:eastAsia="Times New Roman"/>
          <w:lang w:eastAsia="en-US"/>
        </w:rPr>
      </w:pPr>
      <w:r>
        <w:rPr>
          <w:lang w:eastAsia="en-US"/>
        </w:rPr>
        <w:t>1. копие на договор с контролиращо лице за контрол на съответствие;</w:t>
      </w:r>
    </w:p>
    <w:p>
      <w:pPr>
        <w:pStyle w:val="Normal"/>
        <w:spacing w:lineRule="auto" w:line="360"/>
        <w:ind w:left="947" w:hanging="227"/>
        <w:rPr>
          <w:rFonts w:eastAsia="Times New Roman"/>
          <w:lang w:eastAsia="en-US"/>
        </w:rPr>
      </w:pPr>
      <w:r>
        <w:rPr>
          <w:lang w:eastAsia="en-US"/>
        </w:rPr>
        <w:t>2. копие на контролния лист от първоначалната проверка на контролиращото лице;</w:t>
      </w:r>
    </w:p>
    <w:p>
      <w:pPr>
        <w:pStyle w:val="Normal"/>
        <w:spacing w:lineRule="auto" w:line="360"/>
        <w:ind w:firstLine="720"/>
        <w:rPr>
          <w:rFonts w:eastAsia="Times New Roman"/>
          <w:lang w:eastAsia="en-US"/>
        </w:rPr>
      </w:pPr>
      <w:r>
        <w:rPr>
          <w:lang w:eastAsia="en-US"/>
        </w:rPr>
        <w:t>3. правила, регламентиращи спазването на продуктовите спецификации;</w:t>
      </w:r>
    </w:p>
    <w:p>
      <w:pPr>
        <w:pStyle w:val="Normal"/>
        <w:spacing w:lineRule="auto" w:line="360"/>
        <w:ind w:firstLine="720"/>
        <w:rPr>
          <w:rFonts w:eastAsia="Times New Roman"/>
          <w:lang w:eastAsia="en-US"/>
        </w:rPr>
      </w:pPr>
      <w:r>
        <w:rPr>
          <w:lang w:eastAsia="en-US"/>
        </w:rPr>
        <w:t>4. декларация съгласно приложение № 2 от наредбата ;</w:t>
      </w:r>
    </w:p>
    <w:p>
      <w:pPr>
        <w:pStyle w:val="Normal"/>
        <w:spacing w:lineRule="auto" w:line="360"/>
        <w:ind w:firstLine="720"/>
        <w:rPr>
          <w:rFonts w:eastAsia="Times New Roman"/>
          <w:lang w:eastAsia="en-US"/>
        </w:rPr>
      </w:pPr>
      <w:r>
        <w:rPr>
          <w:lang w:eastAsia="en-US"/>
        </w:rPr>
        <w:t>5. кратко описание на помещенията и техническото оборудване.</w:t>
      </w:r>
    </w:p>
    <w:p>
      <w:pPr>
        <w:pStyle w:val="Normal"/>
        <w:spacing w:lineRule="auto" w:line="360"/>
        <w:rPr>
          <w:rFonts w:eastAsia="Times New Roman"/>
          <w:lang w:eastAsia="en-US"/>
        </w:rPr>
      </w:pPr>
      <w:r>
        <w:rPr>
          <w:rFonts w:eastAsia="Times New Roman"/>
          <w:lang w:eastAsia="en-US"/>
        </w:rPr>
      </w:r>
    </w:p>
    <w:p>
      <w:pPr>
        <w:pStyle w:val="Normal"/>
        <w:spacing w:lineRule="auto" w:line="360"/>
        <w:rPr>
          <w:rFonts w:eastAsia="Times New Roman"/>
          <w:lang w:eastAsia="en-US"/>
        </w:rPr>
      </w:pPr>
      <w:r>
        <w:rPr>
          <w:lang w:eastAsia="en-US"/>
        </w:rPr>
        <w:t xml:space="preserve">Дата: </w:t>
        <w:tab/>
        <w:tab/>
        <w:tab/>
        <w:tab/>
        <w:t xml:space="preserve">                                 Подпис и печат: </w:t>
      </w:r>
    </w:p>
    <w:p>
      <w:pPr>
        <w:pStyle w:val="Normal"/>
        <w:widowControl w:val="false"/>
        <w:spacing w:lineRule="auto" w:line="360"/>
        <w:ind w:firstLine="480"/>
        <w:jc w:val="right"/>
        <w:rPr>
          <w:rFonts w:eastAsia="Times New Roman"/>
          <w:strike/>
          <w:lang w:eastAsia="en-US"/>
        </w:rPr>
      </w:pPr>
      <w:r>
        <w:rPr>
          <w:lang w:eastAsia="en-US"/>
        </w:rPr>
        <w:t xml:space="preserve">Приложение № 7 </w:t>
      </w:r>
      <w:r>
        <w:rPr>
          <w:rFonts w:eastAsia="Times New Roman"/>
          <w:lang w:eastAsia="en-US"/>
        </w:rPr>
        <w:br/>
      </w:r>
      <w:r>
        <w:rPr>
          <w:lang w:eastAsia="en-US"/>
        </w:rPr>
        <w:t>към чл. 59 и чл. 62</w:t>
      </w:r>
    </w:p>
    <w:p>
      <w:pPr>
        <w:pStyle w:val="Normal"/>
        <w:widowControl w:val="false"/>
        <w:spacing w:lineRule="auto" w:line="360"/>
        <w:ind w:firstLine="480"/>
        <w:jc w:val="right"/>
        <w:rPr>
          <w:rFonts w:eastAsia="Times New Roman"/>
          <w:i/>
          <w:i/>
          <w:lang w:eastAsia="en-US"/>
        </w:rPr>
      </w:pPr>
      <w:r>
        <w:rPr>
          <w:rFonts w:eastAsia="Times New Roman"/>
          <w:i/>
          <w:lang w:eastAsia="en-US"/>
        </w:rPr>
      </w:r>
    </w:p>
    <w:p>
      <w:pPr>
        <w:pStyle w:val="Normal"/>
        <w:widowControl w:val="false"/>
        <w:spacing w:lineRule="auto" w:line="360"/>
        <w:ind w:left="4320" w:hanging="0"/>
        <w:jc w:val="both"/>
        <w:rPr>
          <w:rFonts w:eastAsia="Times New Roman"/>
          <w:b/>
          <w:b/>
          <w:lang w:eastAsia="en-US"/>
        </w:rPr>
      </w:pPr>
      <w:r>
        <w:rPr>
          <w:b/>
          <w:lang w:eastAsia="en-US"/>
        </w:rPr>
        <w:t>ДО</w:t>
      </w:r>
    </w:p>
    <w:p>
      <w:pPr>
        <w:pStyle w:val="Normal"/>
        <w:spacing w:lineRule="auto" w:line="360"/>
        <w:ind w:left="4320" w:hanging="0"/>
        <w:rPr>
          <w:rFonts w:eastAsia="Times New Roman"/>
          <w:b/>
          <w:b/>
          <w:lang w:eastAsia="en-US"/>
        </w:rPr>
      </w:pPr>
      <w:r>
        <w:rPr>
          <w:b/>
          <w:lang w:eastAsia="en-US"/>
        </w:rPr>
        <w:t>МИНИСТЪРА НА ЗЕМЕДЕЛИЕТО, ХРАНИТЕ И ГОРИТЕ</w:t>
      </w:r>
    </w:p>
    <w:p>
      <w:pPr>
        <w:pStyle w:val="Normal"/>
        <w:spacing w:lineRule="auto" w:line="360"/>
        <w:rPr>
          <w:rFonts w:eastAsia="Times New Roman"/>
          <w:b/>
          <w:b/>
          <w:lang w:eastAsia="en-US"/>
        </w:rPr>
      </w:pPr>
      <w:r>
        <w:rPr>
          <w:rFonts w:eastAsia="Times New Roman"/>
          <w:b/>
          <w:lang w:eastAsia="en-US"/>
        </w:rPr>
      </w:r>
    </w:p>
    <w:p>
      <w:pPr>
        <w:pStyle w:val="Normal"/>
        <w:spacing w:lineRule="auto" w:line="360"/>
        <w:jc w:val="center"/>
        <w:rPr>
          <w:rFonts w:eastAsia="Times New Roman"/>
          <w:b/>
          <w:b/>
          <w:lang w:eastAsia="en-US"/>
        </w:rPr>
      </w:pPr>
      <w:r>
        <w:rPr>
          <w:rFonts w:eastAsia="Times New Roman"/>
          <w:b/>
          <w:lang w:eastAsia="en-US"/>
        </w:rPr>
      </w:r>
    </w:p>
    <w:p>
      <w:pPr>
        <w:pStyle w:val="Normal"/>
        <w:spacing w:lineRule="auto" w:line="360"/>
        <w:jc w:val="center"/>
        <w:rPr>
          <w:rFonts w:ascii="Times New Roman Bold" w:hAnsi="Times New Roman Bold"/>
          <w:b/>
          <w:b/>
          <w:spacing w:val="90"/>
          <w:lang w:eastAsia="en-US"/>
        </w:rPr>
      </w:pPr>
      <w:r>
        <w:rPr>
          <w:rFonts w:ascii="Times New Roman Bold" w:hAnsi="Times New Roman Bold"/>
          <w:b/>
          <w:spacing w:val="90"/>
          <w:lang w:eastAsia="en-US"/>
        </w:rPr>
        <w:t>ЗАЯВЛЕНИЕ</w:t>
      </w:r>
    </w:p>
    <w:p>
      <w:pPr>
        <w:pStyle w:val="Normal"/>
        <w:jc w:val="both"/>
        <w:rPr>
          <w:rFonts w:eastAsia="Times New Roman"/>
          <w:b/>
          <w:b/>
          <w:lang w:eastAsia="en-US"/>
        </w:rPr>
      </w:pPr>
      <w:r>
        <w:rPr>
          <w:b/>
          <w:lang w:eastAsia="en-US"/>
        </w:rPr>
        <w:t>за заличаване на производител на храни със защитени географски означения и храни с традиционно специфичен характер от регистъра по чл. 16, ал. 3 от Закона за прилагане на Общата организация на пазарите на земеделски продукти на Европейския съюз</w:t>
      </w:r>
    </w:p>
    <w:p>
      <w:pPr>
        <w:pStyle w:val="Normal"/>
        <w:spacing w:lineRule="auto" w:line="360"/>
        <w:jc w:val="both"/>
        <w:rPr>
          <w:rFonts w:ascii="Calibri" w:hAnsi="Calibri"/>
          <w:b/>
          <w:b/>
          <w:lang w:eastAsia="en-US"/>
        </w:rPr>
      </w:pPr>
      <w:r>
        <w:rPr>
          <w:rFonts w:ascii="Calibri" w:hAnsi="Calibri"/>
          <w:b/>
          <w:lang w:eastAsia="en-US"/>
        </w:rPr>
      </w:r>
    </w:p>
    <w:p>
      <w:pPr>
        <w:pStyle w:val="Normal"/>
        <w:spacing w:lineRule="auto" w:line="360"/>
        <w:rPr>
          <w:rFonts w:eastAsia="Times New Roman"/>
          <w:lang w:eastAsia="en-US"/>
        </w:rPr>
      </w:pPr>
      <w:r>
        <w:rPr>
          <w:color w:val="000000"/>
          <w:lang w:eastAsia="en-US"/>
        </w:rPr>
        <w:t>Данни на заявителя: (наименование и ЕИК)</w:t>
      </w:r>
      <w:r>
        <w:rPr>
          <w:rFonts w:eastAsia="Times New Roman"/>
          <w:lang w:eastAsia="en-US"/>
        </w:rPr>
        <w:tab/>
        <w:t xml:space="preserve">   </w:t>
      </w:r>
    </w:p>
    <w:p>
      <w:pPr>
        <w:pStyle w:val="Normal"/>
        <w:spacing w:lineRule="auto" w:line="360"/>
        <w:rPr>
          <w:rFonts w:eastAsia="Times New Roman"/>
          <w:lang w:eastAsia="en-US"/>
        </w:rPr>
      </w:pPr>
      <w:r>
        <w:rPr>
          <w:lang w:eastAsia="en-US"/>
        </w:rPr>
        <w:t>представлявано от:</w:t>
      </w:r>
    </w:p>
    <w:p>
      <w:pPr>
        <w:pStyle w:val="Normal"/>
        <w:spacing w:lineRule="auto" w:line="360"/>
        <w:rPr>
          <w:rFonts w:eastAsia="Times New Roman"/>
          <w:lang w:eastAsia="en-US"/>
        </w:rPr>
      </w:pPr>
      <w:r>
        <w:rPr>
          <w:lang w:eastAsia="en-US"/>
        </w:rPr>
        <w:t>седалище и адрес на управление:</w:t>
      </w:r>
    </w:p>
    <w:p>
      <w:pPr>
        <w:pStyle w:val="Normal"/>
        <w:spacing w:lineRule="auto" w:line="360"/>
        <w:rPr>
          <w:rFonts w:eastAsia="Times New Roman"/>
          <w:lang w:eastAsia="en-US"/>
        </w:rPr>
      </w:pPr>
      <w:r>
        <w:rPr>
          <w:lang w:eastAsia="en-US"/>
        </w:rPr>
        <w:t xml:space="preserve">телефон: </w:t>
      </w:r>
    </w:p>
    <w:p>
      <w:pPr>
        <w:pStyle w:val="Normal"/>
        <w:spacing w:lineRule="auto" w:line="360"/>
        <w:rPr>
          <w:rFonts w:eastAsia="Times New Roman"/>
          <w:lang w:eastAsia="en-US"/>
        </w:rPr>
      </w:pPr>
      <w:r>
        <w:rPr>
          <w:lang w:eastAsia="en-US"/>
        </w:rPr>
        <w:t>електронен адрес:</w:t>
      </w:r>
    </w:p>
    <w:p>
      <w:pPr>
        <w:pStyle w:val="Normal"/>
        <w:spacing w:lineRule="auto" w:line="360"/>
        <w:rPr>
          <w:rFonts w:eastAsia="Times New Roman"/>
          <w:lang w:eastAsia="en-US"/>
        </w:rPr>
      </w:pPr>
      <w:r>
        <w:rPr>
          <w:rFonts w:eastAsia="Times New Roman"/>
          <w:lang w:eastAsia="en-US"/>
        </w:rPr>
      </w:r>
    </w:p>
    <w:p>
      <w:pPr>
        <w:pStyle w:val="Normal"/>
        <w:spacing w:lineRule="auto" w:line="360"/>
        <w:ind w:firstLine="709"/>
        <w:rPr>
          <w:rFonts w:eastAsia="Times New Roman"/>
          <w:b/>
          <w:b/>
          <w:caps/>
          <w:lang w:eastAsia="en-US"/>
        </w:rPr>
      </w:pPr>
      <w:r>
        <w:rPr>
          <w:b/>
          <w:caps/>
          <w:lang w:eastAsia="en-US"/>
        </w:rPr>
        <w:t>Уважаеми господин министър,</w:t>
      </w:r>
    </w:p>
    <w:p>
      <w:pPr>
        <w:pStyle w:val="Normal"/>
        <w:spacing w:lineRule="auto" w:line="360"/>
        <w:ind w:firstLine="709"/>
        <w:jc w:val="both"/>
        <w:rPr>
          <w:rFonts w:eastAsia="Times New Roman"/>
          <w:lang w:eastAsia="en-US"/>
        </w:rPr>
      </w:pPr>
      <w:r>
        <w:rPr>
          <w:lang w:eastAsia="en-US"/>
        </w:rPr>
        <w:t>Моля, ……………………………………. да бъде отписано от регистъра на производителите на:</w:t>
      </w:r>
    </w:p>
    <w:p>
      <w:pPr>
        <w:pStyle w:val="Normal"/>
        <w:spacing w:lineRule="auto" w:line="360"/>
        <w:rPr>
          <w:rFonts w:eastAsia="Times New Roman"/>
          <w:lang w:eastAsia="en-US"/>
        </w:rPr>
      </w:pPr>
      <w:r>
        <w:rPr>
          <w:rFonts w:eastAsia="Times New Roman"/>
          <w:lang w:eastAsia="en-US"/>
        </w:rPr>
        <w:t xml:space="preserve">            </w:t>
      </w:r>
    </w:p>
    <w:p>
      <w:pPr>
        <w:pStyle w:val="Normal"/>
        <w:spacing w:lineRule="auto" w:line="360"/>
        <w:rPr>
          <w:rFonts w:eastAsia="Times New Roman"/>
          <w:lang w:eastAsia="en-US"/>
        </w:rPr>
      </w:pPr>
      <w:r>
        <w:rPr>
          <w:rFonts w:eastAsia="Wingdings" w:cs="Wingdings" w:ascii="Wingdings" w:hAnsi="Wingdings"/>
          <w:lang w:eastAsia="en-US"/>
        </w:rPr>
        <w:t></w:t>
      </w:r>
      <w:r>
        <w:rPr>
          <w:lang w:eastAsia="en-US"/>
        </w:rPr>
        <w:t xml:space="preserve"> </w:t>
      </w:r>
      <w:r>
        <w:rPr>
          <w:lang w:eastAsia="en-US"/>
        </w:rPr>
        <w:t>ЗНП ……………………………………………………………………………………….</w:t>
      </w:r>
    </w:p>
    <w:p>
      <w:pPr>
        <w:pStyle w:val="Normal"/>
        <w:spacing w:lineRule="auto" w:line="360"/>
        <w:rPr>
          <w:rFonts w:eastAsia="Times New Roman"/>
          <w:lang w:eastAsia="en-US"/>
        </w:rPr>
      </w:pPr>
      <w:r>
        <w:rPr>
          <w:rFonts w:eastAsia="Times New Roman"/>
          <w:lang w:eastAsia="en-US"/>
        </w:rPr>
        <w:t xml:space="preserve">              ………………………………………………………………………………………</w:t>
      </w:r>
      <w:r>
        <w:rPr>
          <w:rFonts w:eastAsia="Times New Roman"/>
          <w:lang w:eastAsia="en-US"/>
        </w:rPr>
        <w:t>.</w:t>
      </w:r>
    </w:p>
    <w:p>
      <w:pPr>
        <w:pStyle w:val="Normal"/>
        <w:spacing w:lineRule="auto" w:line="360"/>
        <w:rPr>
          <w:rFonts w:eastAsia="Times New Roman"/>
          <w:lang w:eastAsia="en-US"/>
        </w:rPr>
      </w:pPr>
      <w:r>
        <w:rPr>
          <w:rFonts w:eastAsia="Wingdings" w:cs="Wingdings" w:ascii="Wingdings" w:hAnsi="Wingdings"/>
          <w:lang w:eastAsia="en-US"/>
        </w:rPr>
        <w:t></w:t>
      </w:r>
      <w:r>
        <w:rPr>
          <w:lang w:eastAsia="en-US"/>
        </w:rPr>
        <w:t xml:space="preserve"> </w:t>
      </w:r>
      <w:r>
        <w:rPr>
          <w:lang w:eastAsia="en-US"/>
        </w:rPr>
        <w:t>ЗГУ  ……………………………………………………………………………………….</w:t>
      </w:r>
    </w:p>
    <w:p>
      <w:pPr>
        <w:pStyle w:val="Normal"/>
        <w:spacing w:lineRule="auto" w:line="360"/>
        <w:rPr>
          <w:rFonts w:eastAsia="Times New Roman"/>
          <w:lang w:eastAsia="en-US"/>
        </w:rPr>
      </w:pPr>
      <w:r>
        <w:rPr>
          <w:rFonts w:eastAsia="Times New Roman"/>
          <w:lang w:eastAsia="en-US"/>
        </w:rPr>
        <w:t xml:space="preserve">              ………………………………………………………………………………………</w:t>
      </w:r>
      <w:r>
        <w:rPr>
          <w:rFonts w:eastAsia="Times New Roman"/>
          <w:lang w:eastAsia="en-US"/>
        </w:rPr>
        <w:t>.</w:t>
      </w:r>
    </w:p>
    <w:p>
      <w:pPr>
        <w:pStyle w:val="Normal"/>
        <w:spacing w:lineRule="auto" w:line="360"/>
        <w:rPr>
          <w:rFonts w:eastAsia="Times New Roman"/>
          <w:lang w:eastAsia="en-US"/>
        </w:rPr>
      </w:pPr>
      <w:r>
        <w:rPr>
          <w:rFonts w:eastAsia="Wingdings" w:cs="Wingdings" w:ascii="Wingdings" w:hAnsi="Wingdings"/>
          <w:lang w:eastAsia="en-US"/>
        </w:rPr>
        <w:t></w:t>
      </w:r>
      <w:r>
        <w:rPr>
          <w:lang w:eastAsia="en-US"/>
        </w:rPr>
        <w:t xml:space="preserve"> </w:t>
      </w:r>
      <w:r>
        <w:rPr>
          <w:lang w:eastAsia="en-US"/>
        </w:rPr>
        <w:t>ХТСХ …………………………………………………………………………………….</w:t>
      </w:r>
    </w:p>
    <w:p>
      <w:pPr>
        <w:pStyle w:val="Normal"/>
        <w:spacing w:lineRule="auto" w:line="360"/>
        <w:rPr>
          <w:rFonts w:eastAsia="Times New Roman"/>
          <w:lang w:eastAsia="en-US"/>
        </w:rPr>
      </w:pPr>
      <w:r>
        <w:rPr>
          <w:rFonts w:eastAsia="Times New Roman"/>
          <w:lang w:eastAsia="en-US"/>
        </w:rPr>
        <w:t xml:space="preserve">              ………………………………………………………………………………………</w:t>
      </w:r>
      <w:r>
        <w:rPr>
          <w:rFonts w:eastAsia="Times New Roman"/>
          <w:lang w:eastAsia="en-US"/>
        </w:rPr>
        <w:t>.</w:t>
      </w:r>
    </w:p>
    <w:p>
      <w:pPr>
        <w:pStyle w:val="Normal"/>
        <w:spacing w:lineRule="auto" w:line="360"/>
        <w:rPr>
          <w:rFonts w:eastAsia="Times New Roman"/>
          <w:lang w:eastAsia="en-US"/>
        </w:rPr>
      </w:pPr>
      <w:r>
        <w:rPr>
          <w:rFonts w:eastAsia="Times New Roman"/>
          <w:lang w:eastAsia="en-US"/>
        </w:rPr>
      </w:r>
    </w:p>
    <w:p>
      <w:pPr>
        <w:pStyle w:val="Normal"/>
        <w:widowControl w:val="false"/>
        <w:spacing w:lineRule="auto" w:line="360"/>
        <w:jc w:val="both"/>
        <w:rPr>
          <w:rFonts w:eastAsia="Times New Roman"/>
          <w:bCs/>
          <w:lang w:eastAsia="en-US"/>
        </w:rPr>
      </w:pPr>
      <w:r>
        <w:rPr>
          <w:lang w:eastAsia="en-US"/>
        </w:rPr>
        <w:t>Дата: ……………………..</w:t>
        <w:tab/>
        <w:tab/>
        <w:tab/>
        <w:tab/>
        <w:t>Подпис и печат: ……………………</w:t>
      </w:r>
      <w:r>
        <w:rPr>
          <w:rFonts w:eastAsia="Times New Roman"/>
          <w:bCs/>
          <w:lang w:eastAsia="en-US"/>
        </w:rPr>
        <w:t xml:space="preserve">                                                                </w:t>
      </w:r>
    </w:p>
    <w:p>
      <w:pPr>
        <w:pStyle w:val="Normal"/>
        <w:rPr/>
      </w:pPr>
      <w:r>
        <w:rPr/>
      </w:r>
    </w:p>
    <w:sectPr>
      <w:footerReference w:type="default" r:id="rId7"/>
      <w:type w:val="nextPage"/>
      <w:pgSz w:w="11906" w:h="16838"/>
      <w:pgMar w:left="1701" w:right="1134" w:header="0" w:top="1134" w:footer="709" w:bottom="766" w:gutter="0"/>
      <w:pgNumType w:start="26"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Liberation Sans">
    <w:altName w:val="Arial"/>
    <w:charset w:val="01"/>
    <w:family w:val="swiss"/>
    <w:pitch w:val="variable"/>
  </w:font>
  <w:font w:name="Wingdings">
    <w:charset w:val="02"/>
    <w:family w:val="roman"/>
    <w:pitch w:val="variable"/>
  </w:font>
  <w:font w:name="Times New Roman Bold">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sz w:val="20"/>
        <w:szCs w:val="20"/>
      </w:rPr>
      <w:fldChar w:fldCharType="begin"/>
    </w:r>
    <w:r>
      <w:rPr>
        <w:sz w:val="20"/>
        <w:szCs w:val="20"/>
      </w:rPr>
      <w:instrText> PAGE </w:instrText>
    </w:r>
    <w:r>
      <w:rPr>
        <w:sz w:val="20"/>
        <w:szCs w:val="20"/>
      </w:rPr>
      <w:fldChar w:fldCharType="separate"/>
    </w:r>
    <w:r>
      <w:rPr>
        <w:sz w:val="20"/>
        <w:szCs w:val="20"/>
      </w:rPr>
      <w:t>25</w:t>
    </w:r>
    <w:r>
      <w:rPr>
        <w:sz w:val="20"/>
        <w:szCs w:val="20"/>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sz w:val="20"/>
        <w:szCs w:val="20"/>
      </w:rPr>
      <w:fldChar w:fldCharType="begin"/>
    </w:r>
    <w:r>
      <w:rPr>
        <w:sz w:val="20"/>
        <w:szCs w:val="20"/>
      </w:rPr>
      <w:instrText> PAGE </w:instrText>
    </w:r>
    <w:r>
      <w:rPr>
        <w:sz w:val="20"/>
        <w:szCs w:val="20"/>
      </w:rPr>
      <w:fldChar w:fldCharType="separate"/>
    </w:r>
    <w:r>
      <w:rPr>
        <w:sz w:val="20"/>
        <w:szCs w:val="20"/>
      </w:rPr>
      <w:t>35</w:t>
    </w:r>
    <w:r>
      <w:rPr>
        <w:sz w:val="20"/>
        <w:szCs w:val="20"/>
      </w:rPr>
      <w:fldChar w:fldCharType="end"/>
    </w:r>
  </w:p>
</w:ftr>
</file>

<file path=word/settings.xml><?xml version="1.0" encoding="utf-8"?>
<w:settings xmlns:w="http://schemas.openxmlformats.org/wordprocessingml/2006/main">
  <w:zoom w:percent="15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bg-BG"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bg-BG" w:eastAsia="zh-TW"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cd2a43"/>
    <w:pPr>
      <w:widowControl/>
      <w:bidi w:val="0"/>
      <w:jc w:val="left"/>
    </w:pPr>
    <w:rPr>
      <w:rFonts w:eastAsia="SimSun" w:ascii="Times New Roman" w:hAnsi="Times New Roman" w:cs="Times New Roman"/>
      <w:color w:val="auto"/>
      <w:kern w:val="0"/>
      <w:sz w:val="24"/>
      <w:szCs w:val="24"/>
      <w:lang w:eastAsia="zh-CN" w:val="bg-BG" w:bidi="ar-SA"/>
    </w:rPr>
  </w:style>
  <w:style w:type="character" w:styleId="DefaultParagraphFont" w:default="1">
    <w:name w:val="Default Paragraph Font"/>
    <w:uiPriority w:val="1"/>
    <w:semiHidden/>
    <w:unhideWhenUsed/>
    <w:qFormat/>
    <w:rPr/>
  </w:style>
  <w:style w:type="character" w:styleId="InternetLink">
    <w:name w:val="Internet Link"/>
    <w:rsid w:val="00cd2a43"/>
    <w:rPr>
      <w:color w:val="000000"/>
      <w:u w:val="none"/>
      <w:effect w:val="none"/>
    </w:rPr>
  </w:style>
  <w:style w:type="character" w:styleId="BalloonTextChar" w:customStyle="1">
    <w:name w:val="Balloon Text Char"/>
    <w:link w:val="BalloonText"/>
    <w:semiHidden/>
    <w:qFormat/>
    <w:locked/>
    <w:rsid w:val="00cd2a43"/>
    <w:rPr>
      <w:rFonts w:ascii="Calibri" w:hAnsi="Calibri" w:eastAsia="SimSun"/>
      <w:sz w:val="16"/>
      <w:szCs w:val="16"/>
      <w:lang w:val="bg-BG" w:eastAsia="zh-CN" w:bidi="ar-SA"/>
    </w:rPr>
  </w:style>
  <w:style w:type="character" w:styleId="HeaderChar" w:customStyle="1">
    <w:name w:val="Header Char"/>
    <w:link w:val="Header"/>
    <w:qFormat/>
    <w:locked/>
    <w:rsid w:val="00cd2a43"/>
    <w:rPr>
      <w:rFonts w:eastAsia="SimSun"/>
      <w:sz w:val="24"/>
      <w:szCs w:val="24"/>
      <w:lang w:val="bg-BG" w:eastAsia="zh-CN" w:bidi="ar-SA"/>
    </w:rPr>
  </w:style>
  <w:style w:type="character" w:styleId="FooterChar" w:customStyle="1">
    <w:name w:val="Footer Char"/>
    <w:link w:val="Footer"/>
    <w:qFormat/>
    <w:locked/>
    <w:rsid w:val="00cd2a43"/>
    <w:rPr>
      <w:rFonts w:eastAsia="SimSun"/>
      <w:sz w:val="24"/>
      <w:szCs w:val="24"/>
      <w:lang w:val="bg-BG" w:eastAsia="zh-CN" w:bidi="ar-SA"/>
    </w:rPr>
  </w:style>
  <w:style w:type="character" w:styleId="Newdocreference1" w:customStyle="1">
    <w:name w:val="newdocreference1"/>
    <w:qFormat/>
    <w:rsid w:val="00cd2a43"/>
    <w:rPr>
      <w:color w:val="0000FF"/>
      <w:u w:val="single"/>
    </w:rPr>
  </w:style>
  <w:style w:type="character" w:styleId="Samedocreference1" w:customStyle="1">
    <w:name w:val="samedocreference1"/>
    <w:qFormat/>
    <w:rsid w:val="00cd2a43"/>
    <w:rPr>
      <w:color w:val="8B0000"/>
      <w:u w:val="single"/>
    </w:rPr>
  </w:style>
  <w:style w:type="character" w:styleId="Search33" w:customStyle="1">
    <w:name w:val="search33"/>
    <w:qFormat/>
    <w:rsid w:val="00cd2a43"/>
    <w:rPr>
      <w:shd w:fill="EBBE51" w:val="clear"/>
    </w:rPr>
  </w:style>
  <w:style w:type="character" w:styleId="Search13" w:customStyle="1">
    <w:name w:val="search13"/>
    <w:qFormat/>
    <w:rsid w:val="00cd2a43"/>
    <w:rPr>
      <w:shd w:fill="99FF99" w:val="clear"/>
    </w:rPr>
  </w:style>
  <w:style w:type="character" w:styleId="Search43" w:customStyle="1">
    <w:name w:val="search43"/>
    <w:qFormat/>
    <w:rsid w:val="00cd2a43"/>
    <w:rPr>
      <w:shd w:fill="A0FFFF" w:val="clear"/>
    </w:rPr>
  </w:style>
  <w:style w:type="character" w:styleId="Search14" w:customStyle="1">
    <w:name w:val="search14"/>
    <w:qFormat/>
    <w:rsid w:val="00cd2a43"/>
    <w:rPr>
      <w:shd w:fill="99FF99" w:val="clear"/>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style>
  <w:style w:type="character" w:styleId="ListLabel11">
    <w:name w:val="ListLabel 11"/>
    <w:qFormat/>
    <w:rPr>
      <w:lang w:eastAsia="bg-BG"/>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BalloonText">
    <w:name w:val="Balloon Text"/>
    <w:basedOn w:val="Normal"/>
    <w:link w:val="BalloonTextChar"/>
    <w:semiHidden/>
    <w:qFormat/>
    <w:rsid w:val="00cd2a43"/>
    <w:pPr/>
    <w:rPr>
      <w:rFonts w:ascii="Calibri" w:hAnsi="Calibri"/>
      <w:sz w:val="16"/>
      <w:szCs w:val="16"/>
    </w:rPr>
  </w:style>
  <w:style w:type="paragraph" w:styleId="Header">
    <w:name w:val="Header"/>
    <w:basedOn w:val="Normal"/>
    <w:link w:val="HeaderChar"/>
    <w:rsid w:val="00cd2a43"/>
    <w:pPr>
      <w:tabs>
        <w:tab w:val="center" w:pos="4536" w:leader="none"/>
        <w:tab w:val="right" w:pos="9072" w:leader="none"/>
      </w:tabs>
    </w:pPr>
    <w:rPr/>
  </w:style>
  <w:style w:type="paragraph" w:styleId="Footer">
    <w:name w:val="Footer"/>
    <w:basedOn w:val="Normal"/>
    <w:link w:val="FooterChar"/>
    <w:rsid w:val="00cd2a43"/>
    <w:pPr>
      <w:tabs>
        <w:tab w:val="center" w:pos="4536" w:leader="none"/>
        <w:tab w:val="right" w:pos="9072" w:leader="none"/>
      </w:tabs>
    </w:pPr>
    <w:rPr/>
  </w:style>
  <w:style w:type="paragraph" w:styleId="ListParagraph">
    <w:name w:val="List Paragraph"/>
    <w:basedOn w:val="Normal"/>
    <w:uiPriority w:val="34"/>
    <w:qFormat/>
    <w:rsid w:val="0072180f"/>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zh.government.bg/bg/" TargetMode="External"/><Relationship Id="rId3" Type="http://schemas.openxmlformats.org/officeDocument/2006/relationships/hyperlink" Target="http://www.mzh.government.bg/bg/" TargetMode="External"/><Relationship Id="rId4" Type="http://schemas.openxmlformats.org/officeDocument/2006/relationships/hyperlink" Target="apis://Base=NARH&amp;DocCode=8335017029&amp;Type=201" TargetMode="External"/><Relationship Id="rId5" Type="http://schemas.openxmlformats.org/officeDocument/2006/relationships/hyperlink" Target="http://www.mzh.government.bg/mzh/bg/Home.aspx"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LibreOffice/6.0.4.2$Linux_X86_64 LibreOffice_project/00m0$Build-2</Application>
  <Pages>34</Pages>
  <Words>9333</Words>
  <Characters>54032</Characters>
  <CharactersWithSpaces>63314</CharactersWithSpaces>
  <Paragraphs>567</Paragraphs>
  <Company>mzh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2019-04-17T13:53:00Z</dcterms:created>
  <dc:creator>dfileva</dc:creator>
  <dc:description/>
  <dc:language>en-US</dc:language>
  <cp:lastModifiedBy>Evstatiy Evstatiev</cp:lastModifiedBy>
  <dcterms:modified xsi:type="dcterms:W3CDTF">2019-04-18T09:52:00Z</dcterms:modified>
  <cp:revision>5</cp:revision>
  <dc:subject/>
  <dc:title>МИНИСТЕРСТВО НА ЗЕМЕДЕЛИЕТО, ХРАНИТЕ И ГОРИТЕ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mzh</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