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6B" w:rsidRPr="00341EFA" w:rsidRDefault="002E576B" w:rsidP="002E576B">
      <w:pPr>
        <w:jc w:val="center"/>
        <w:rPr>
          <w:lang w:val="bg-BG"/>
        </w:rPr>
      </w:pPr>
      <w:r w:rsidRPr="00341EFA">
        <w:rPr>
          <w:lang w:val="bg-BG"/>
        </w:rPr>
        <w:t>Име на интервенцията:</w:t>
      </w:r>
    </w:p>
    <w:tbl>
      <w:tblPr>
        <w:tblStyle w:val="TableGrid"/>
        <w:tblW w:w="0" w:type="auto"/>
        <w:tblLook w:val="04A0" w:firstRow="1" w:lastRow="0" w:firstColumn="1" w:lastColumn="0" w:noHBand="0" w:noVBand="1"/>
      </w:tblPr>
      <w:tblGrid>
        <w:gridCol w:w="9242"/>
      </w:tblGrid>
      <w:tr w:rsidR="00341EFA" w:rsidRPr="00341EFA" w:rsidTr="007F6563">
        <w:trPr>
          <w:trHeight w:val="622"/>
        </w:trPr>
        <w:tc>
          <w:tcPr>
            <w:tcW w:w="9242" w:type="dxa"/>
            <w:shd w:val="clear" w:color="auto" w:fill="B8CCE4" w:themeFill="accent1" w:themeFillTint="66"/>
          </w:tcPr>
          <w:p w:rsidR="002E576B" w:rsidRPr="00341EFA" w:rsidRDefault="00341EFA" w:rsidP="002E576B">
            <w:pPr>
              <w:spacing w:after="200" w:line="276" w:lineRule="auto"/>
              <w:jc w:val="center"/>
              <w:rPr>
                <w:b/>
                <w:sz w:val="24"/>
                <w:szCs w:val="24"/>
                <w:lang w:val="bg-BG"/>
              </w:rPr>
            </w:pPr>
            <w:r w:rsidRPr="00341EFA">
              <w:rPr>
                <w:b/>
                <w:sz w:val="24"/>
                <w:szCs w:val="24"/>
                <w:lang w:val="bg-BG"/>
              </w:rPr>
              <w:t>Член 64, б. „г</w:t>
            </w:r>
            <w:r w:rsidR="009B2ED1" w:rsidRPr="00341EFA">
              <w:rPr>
                <w:b/>
                <w:sz w:val="24"/>
                <w:szCs w:val="24"/>
                <w:lang w:val="bg-BG"/>
              </w:rPr>
              <w:t xml:space="preserve">“ - </w:t>
            </w:r>
            <w:r w:rsidRPr="00341EFA">
              <w:rPr>
                <w:b/>
                <w:sz w:val="24"/>
                <w:szCs w:val="24"/>
                <w:lang w:val="bg-BG"/>
              </w:rPr>
              <w:t>Инвестиции</w:t>
            </w:r>
          </w:p>
        </w:tc>
      </w:tr>
    </w:tbl>
    <w:p w:rsidR="002E576B" w:rsidRPr="00341EFA" w:rsidRDefault="002E576B" w:rsidP="002E576B">
      <w:pPr>
        <w:jc w:val="center"/>
        <w:rPr>
          <w:lang w:val="bg-BG"/>
        </w:rPr>
      </w:pPr>
    </w:p>
    <w:tbl>
      <w:tblPr>
        <w:tblStyle w:val="TableGrid"/>
        <w:tblW w:w="9322" w:type="dxa"/>
        <w:tblLook w:val="04A0" w:firstRow="1" w:lastRow="0" w:firstColumn="1" w:lastColumn="0" w:noHBand="0" w:noVBand="1"/>
      </w:tblPr>
      <w:tblGrid>
        <w:gridCol w:w="2943"/>
        <w:gridCol w:w="6379"/>
      </w:tblGrid>
      <w:tr w:rsidR="00341EFA" w:rsidRPr="00341EFA" w:rsidTr="00252CFE">
        <w:tc>
          <w:tcPr>
            <w:tcW w:w="2943" w:type="dxa"/>
            <w:shd w:val="clear" w:color="auto" w:fill="B8CCE4" w:themeFill="accent1" w:themeFillTint="66"/>
          </w:tcPr>
          <w:p w:rsidR="002E576B" w:rsidRPr="00341EFA" w:rsidRDefault="002E576B" w:rsidP="002E576B">
            <w:pPr>
              <w:ind w:right="1711"/>
              <w:rPr>
                <w:b/>
                <w:lang w:val="bg-BG"/>
              </w:rPr>
            </w:pPr>
            <w:r w:rsidRPr="00341EFA">
              <w:rPr>
                <w:b/>
                <w:lang w:val="bg-BG"/>
              </w:rPr>
              <w:t>Фонд</w:t>
            </w:r>
          </w:p>
        </w:tc>
        <w:tc>
          <w:tcPr>
            <w:tcW w:w="6379" w:type="dxa"/>
          </w:tcPr>
          <w:p w:rsidR="002E576B" w:rsidRPr="00341EFA" w:rsidRDefault="009B2ED1" w:rsidP="002E576B">
            <w:pPr>
              <w:jc w:val="center"/>
              <w:rPr>
                <w:lang w:val="bg-BG"/>
              </w:rPr>
            </w:pPr>
            <w:r w:rsidRPr="00341EFA">
              <w:rPr>
                <w:sz w:val="24"/>
                <w:szCs w:val="24"/>
                <w:lang w:val="bg-BG"/>
              </w:rPr>
              <w:t>Европейски земеделски фонд за развитие на селските райони (ЕЗФРСР)</w:t>
            </w:r>
          </w:p>
        </w:tc>
      </w:tr>
      <w:tr w:rsidR="00341EFA" w:rsidRPr="00341EFA" w:rsidTr="007C5364">
        <w:tc>
          <w:tcPr>
            <w:tcW w:w="2943" w:type="dxa"/>
            <w:shd w:val="clear" w:color="auto" w:fill="auto"/>
            <w:vAlign w:val="center"/>
          </w:tcPr>
          <w:p w:rsidR="002E576B" w:rsidRPr="00341EFA" w:rsidRDefault="002E576B" w:rsidP="00BC2D56">
            <w:pPr>
              <w:rPr>
                <w:b/>
              </w:rPr>
            </w:pPr>
            <w:r w:rsidRPr="00341EFA">
              <w:rPr>
                <w:b/>
                <w:lang w:val="bg-BG"/>
              </w:rPr>
              <w:t>Тип на интервенцията</w:t>
            </w:r>
          </w:p>
        </w:tc>
        <w:tc>
          <w:tcPr>
            <w:tcW w:w="6379" w:type="dxa"/>
            <w:shd w:val="clear" w:color="auto" w:fill="auto"/>
            <w:vAlign w:val="center"/>
          </w:tcPr>
          <w:p w:rsidR="002E576B" w:rsidRPr="00341EFA" w:rsidRDefault="00341EFA" w:rsidP="007C5364">
            <w:pPr>
              <w:jc w:val="center"/>
              <w:rPr>
                <w:lang w:val="bg-BG"/>
              </w:rPr>
            </w:pPr>
            <w:r w:rsidRPr="007C5364">
              <w:rPr>
                <w:sz w:val="24"/>
                <w:szCs w:val="24"/>
                <w:lang w:val="bg-BG"/>
              </w:rPr>
              <w:t xml:space="preserve">Инвестиции </w:t>
            </w:r>
            <w:r w:rsidR="007C5364" w:rsidRPr="007C5364">
              <w:rPr>
                <w:sz w:val="24"/>
                <w:szCs w:val="24"/>
                <w:lang w:val="bg-BG"/>
              </w:rPr>
              <w:t>за</w:t>
            </w:r>
            <w:r w:rsidR="007C5364">
              <w:rPr>
                <w:sz w:val="24"/>
                <w:szCs w:val="24"/>
                <w:lang w:val="bg-BG"/>
              </w:rPr>
              <w:t xml:space="preserve"> преработка на селскостопански продукти</w:t>
            </w:r>
          </w:p>
        </w:tc>
      </w:tr>
      <w:tr w:rsidR="00341EFA" w:rsidRPr="00341EFA" w:rsidTr="00252CFE">
        <w:tc>
          <w:tcPr>
            <w:tcW w:w="2943" w:type="dxa"/>
            <w:shd w:val="clear" w:color="auto" w:fill="B8CCE4" w:themeFill="accent1" w:themeFillTint="66"/>
            <w:vAlign w:val="center"/>
          </w:tcPr>
          <w:p w:rsidR="002E576B" w:rsidRPr="00341EFA" w:rsidRDefault="002E576B" w:rsidP="002E576B">
            <w:pPr>
              <w:rPr>
                <w:b/>
              </w:rPr>
            </w:pPr>
            <w:r w:rsidRPr="00341EFA">
              <w:rPr>
                <w:b/>
                <w:lang w:val="bg-BG"/>
              </w:rPr>
              <w:t>Териториален обхват</w:t>
            </w:r>
            <w:r w:rsidR="004D47EE" w:rsidRPr="00341EFA">
              <w:rPr>
                <w:b/>
              </w:rPr>
              <w:t xml:space="preserve"> </w:t>
            </w:r>
          </w:p>
        </w:tc>
        <w:tc>
          <w:tcPr>
            <w:tcW w:w="6379" w:type="dxa"/>
            <w:vAlign w:val="center"/>
          </w:tcPr>
          <w:p w:rsidR="002E576B" w:rsidRPr="00341EFA" w:rsidRDefault="00A7344D" w:rsidP="009B2ED1">
            <w:pPr>
              <w:jc w:val="center"/>
              <w:rPr>
                <w:sz w:val="24"/>
                <w:szCs w:val="24"/>
                <w:lang w:val="bg-BG"/>
              </w:rPr>
            </w:pPr>
            <w:r w:rsidRPr="00341EFA">
              <w:rPr>
                <w:sz w:val="24"/>
                <w:szCs w:val="24"/>
                <w:lang w:val="bg-BG"/>
              </w:rPr>
              <w:t>Дейностите по проектите се осъществят на територията на Република България.</w:t>
            </w:r>
          </w:p>
        </w:tc>
      </w:tr>
      <w:tr w:rsidR="00341EFA" w:rsidRPr="00341EFA" w:rsidTr="007C5364">
        <w:tc>
          <w:tcPr>
            <w:tcW w:w="2943" w:type="dxa"/>
            <w:shd w:val="clear" w:color="auto" w:fill="B8CCE4" w:themeFill="accent1" w:themeFillTint="66"/>
            <w:vAlign w:val="center"/>
          </w:tcPr>
          <w:p w:rsidR="002E576B" w:rsidRPr="00341EFA" w:rsidRDefault="002E576B" w:rsidP="002E576B">
            <w:pPr>
              <w:rPr>
                <w:b/>
                <w:lang w:val="bg-BG"/>
              </w:rPr>
            </w:pPr>
            <w:r w:rsidRPr="00341EFA">
              <w:rPr>
                <w:b/>
                <w:lang w:val="bg-BG"/>
              </w:rPr>
              <w:t>Свързани специфични цели и където е релевантно, секторни приоритети</w:t>
            </w:r>
          </w:p>
        </w:tc>
        <w:tc>
          <w:tcPr>
            <w:tcW w:w="6379" w:type="dxa"/>
            <w:shd w:val="clear" w:color="auto" w:fill="auto"/>
            <w:vAlign w:val="center"/>
          </w:tcPr>
          <w:p w:rsidR="00E73362" w:rsidRPr="00341EFA" w:rsidRDefault="009B2ED1" w:rsidP="00E73362">
            <w:pPr>
              <w:jc w:val="center"/>
              <w:rPr>
                <w:sz w:val="24"/>
                <w:szCs w:val="24"/>
                <w:lang w:val="bg-BG"/>
              </w:rPr>
            </w:pPr>
            <w:r w:rsidRPr="007C5364">
              <w:rPr>
                <w:sz w:val="24"/>
                <w:szCs w:val="24"/>
                <w:lang w:val="bg-BG"/>
              </w:rPr>
              <w:t xml:space="preserve">Типа на интервенцията е пряко свързан със </w:t>
            </w:r>
            <w:r w:rsidR="007C5364" w:rsidRPr="007C5364">
              <w:rPr>
                <w:sz w:val="24"/>
                <w:szCs w:val="24"/>
                <w:lang w:val="bg-BG"/>
              </w:rPr>
              <w:t>Специфична цел 3</w:t>
            </w:r>
            <w:r w:rsidR="00567D49" w:rsidRPr="007C5364">
              <w:rPr>
                <w:sz w:val="24"/>
                <w:szCs w:val="24"/>
                <w:lang w:val="bg-BG"/>
              </w:rPr>
              <w:t xml:space="preserve"> </w:t>
            </w:r>
            <w:r w:rsidR="00341EFA" w:rsidRPr="007C5364">
              <w:rPr>
                <w:sz w:val="24"/>
                <w:szCs w:val="24"/>
                <w:lang w:val="bg-BG"/>
              </w:rPr>
              <w:t>„</w:t>
            </w:r>
            <w:r w:rsidR="007C5364" w:rsidRPr="007C5364">
              <w:rPr>
                <w:sz w:val="24"/>
                <w:szCs w:val="24"/>
                <w:lang w:val="bg-BG"/>
              </w:rPr>
              <w:t>Подобряване на позицията на земеделските стопани във веригата на стойността</w:t>
            </w:r>
            <w:r w:rsidR="00341EFA" w:rsidRPr="007C5364">
              <w:rPr>
                <w:sz w:val="24"/>
                <w:szCs w:val="24"/>
                <w:lang w:val="bg-BG"/>
              </w:rPr>
              <w:t>“</w:t>
            </w:r>
          </w:p>
        </w:tc>
      </w:tr>
      <w:tr w:rsidR="00341EFA" w:rsidRPr="00341EFA" w:rsidTr="00252CFE">
        <w:tc>
          <w:tcPr>
            <w:tcW w:w="2943" w:type="dxa"/>
            <w:shd w:val="clear" w:color="auto" w:fill="B8CCE4" w:themeFill="accent1" w:themeFillTint="66"/>
            <w:vAlign w:val="center"/>
          </w:tcPr>
          <w:p w:rsidR="002E576B" w:rsidRPr="00341EFA" w:rsidRDefault="002E576B" w:rsidP="002E576B">
            <w:pPr>
              <w:rPr>
                <w:b/>
                <w:color w:val="FF0000"/>
                <w:highlight w:val="yellow"/>
                <w:lang w:val="bg-BG"/>
              </w:rPr>
            </w:pPr>
            <w:r w:rsidRPr="007C5364">
              <w:rPr>
                <w:b/>
                <w:lang w:val="bg-BG"/>
              </w:rPr>
              <w:t>Индикатори за резултат</w:t>
            </w:r>
            <w:r w:rsidR="00F22043" w:rsidRPr="007C5364">
              <w:rPr>
                <w:b/>
                <w:lang w:val="bg-BG"/>
              </w:rPr>
              <w:t xml:space="preserve"> </w:t>
            </w:r>
            <w:r w:rsidR="00F22043" w:rsidRPr="007C5364">
              <w:rPr>
                <w:b/>
                <w:sz w:val="20"/>
                <w:szCs w:val="20"/>
                <w:lang w:val="bg-BG"/>
              </w:rPr>
              <w:t>(</w:t>
            </w:r>
            <w:r w:rsidR="00F22043" w:rsidRPr="007C5364">
              <w:rPr>
                <w:b/>
                <w:i/>
                <w:sz w:val="20"/>
                <w:szCs w:val="20"/>
                <w:lang w:val="bg-BG"/>
              </w:rPr>
              <w:t>най-малко един</w:t>
            </w:r>
            <w:r w:rsidR="00F22043" w:rsidRPr="007C5364">
              <w:rPr>
                <w:b/>
                <w:sz w:val="20"/>
                <w:szCs w:val="20"/>
                <w:lang w:val="bg-BG"/>
              </w:rPr>
              <w:t>)</w:t>
            </w:r>
          </w:p>
        </w:tc>
        <w:tc>
          <w:tcPr>
            <w:tcW w:w="6379" w:type="dxa"/>
            <w:vAlign w:val="center"/>
          </w:tcPr>
          <w:p w:rsidR="002E576B" w:rsidRPr="007C5364" w:rsidRDefault="002E576B" w:rsidP="002E576B">
            <w:pPr>
              <w:jc w:val="center"/>
              <w:rPr>
                <w:sz w:val="24"/>
                <w:szCs w:val="24"/>
                <w:lang w:val="bg-BG"/>
              </w:rPr>
            </w:pPr>
          </w:p>
          <w:p w:rsidR="002E576B" w:rsidRPr="007C5364" w:rsidRDefault="007C5364" w:rsidP="007C5364">
            <w:pPr>
              <w:jc w:val="center"/>
              <w:rPr>
                <w:sz w:val="24"/>
                <w:szCs w:val="24"/>
                <w:lang w:val="bg-BG"/>
              </w:rPr>
            </w:pPr>
            <w:r w:rsidRPr="007C5364">
              <w:rPr>
                <w:sz w:val="24"/>
                <w:szCs w:val="24"/>
                <w:lang w:val="bg-BG"/>
              </w:rPr>
              <w:t xml:space="preserve">O.21 Брой операции за производствени инвестиции извън земеделското стопанство или субекти, получаващи подкрепа по ЕЗФРСР </w:t>
            </w:r>
          </w:p>
        </w:tc>
      </w:tr>
      <w:tr w:rsidR="00341EFA" w:rsidRPr="00341EFA" w:rsidTr="00252CFE">
        <w:tc>
          <w:tcPr>
            <w:tcW w:w="2943" w:type="dxa"/>
            <w:shd w:val="clear" w:color="auto" w:fill="B8CCE4" w:themeFill="accent1" w:themeFillTint="66"/>
            <w:vAlign w:val="center"/>
          </w:tcPr>
          <w:p w:rsidR="002E576B" w:rsidRPr="00487049" w:rsidRDefault="002E576B" w:rsidP="002E576B">
            <w:pPr>
              <w:rPr>
                <w:b/>
                <w:lang w:val="bg-BG"/>
              </w:rPr>
            </w:pPr>
            <w:r w:rsidRPr="00487049">
              <w:rPr>
                <w:b/>
                <w:lang w:val="bg-BG"/>
              </w:rPr>
              <w:t>Допустими бенефициенти</w:t>
            </w:r>
          </w:p>
        </w:tc>
        <w:tc>
          <w:tcPr>
            <w:tcW w:w="6379" w:type="dxa"/>
            <w:vAlign w:val="center"/>
          </w:tcPr>
          <w:p w:rsidR="002E576B" w:rsidRPr="00487049" w:rsidRDefault="002E576B" w:rsidP="002E576B">
            <w:pPr>
              <w:jc w:val="center"/>
              <w:rPr>
                <w:lang w:val="bg-BG"/>
              </w:rPr>
            </w:pPr>
          </w:p>
          <w:p w:rsidR="002E576B" w:rsidRPr="00487049" w:rsidRDefault="00487049" w:rsidP="002E576B">
            <w:pPr>
              <w:jc w:val="center"/>
              <w:rPr>
                <w:sz w:val="24"/>
                <w:szCs w:val="24"/>
                <w:lang w:val="bg-BG"/>
              </w:rPr>
            </w:pPr>
            <w:r w:rsidRPr="00487049">
              <w:rPr>
                <w:sz w:val="24"/>
                <w:szCs w:val="24"/>
                <w:lang w:val="bg-BG"/>
              </w:rPr>
              <w:t>Микро, малки, средни или големи предприятия, дефинирани съгласно Препоръка 2003/361/ЕО на Комисията</w:t>
            </w:r>
          </w:p>
          <w:p w:rsidR="002E576B" w:rsidRPr="00487049" w:rsidRDefault="002E576B" w:rsidP="002E576B">
            <w:pPr>
              <w:jc w:val="center"/>
              <w:rPr>
                <w:lang w:val="bg-BG"/>
              </w:rPr>
            </w:pPr>
          </w:p>
        </w:tc>
      </w:tr>
    </w:tbl>
    <w:p w:rsidR="002E576B" w:rsidRPr="00341EFA" w:rsidRDefault="002E576B" w:rsidP="002E576B">
      <w:pPr>
        <w:jc w:val="center"/>
        <w:rPr>
          <w:color w:val="FF0000"/>
        </w:rPr>
      </w:pPr>
    </w:p>
    <w:p w:rsidR="005F556B" w:rsidRPr="000A4AC1" w:rsidRDefault="004D583C" w:rsidP="0046113A">
      <w:pPr>
        <w:pStyle w:val="ListParagraph"/>
        <w:numPr>
          <w:ilvl w:val="0"/>
          <w:numId w:val="2"/>
        </w:numPr>
        <w:spacing w:line="240" w:lineRule="auto"/>
        <w:jc w:val="both"/>
        <w:rPr>
          <w:b/>
          <w:lang w:val="bg-BG"/>
        </w:rPr>
      </w:pPr>
      <w:r w:rsidRPr="000A4AC1">
        <w:rPr>
          <w:b/>
          <w:lang w:val="bg-BG"/>
        </w:rPr>
        <w:t>Описание на дизайна на</w:t>
      </w:r>
      <w:r w:rsidR="008A7C31" w:rsidRPr="000A4AC1">
        <w:rPr>
          <w:b/>
          <w:lang w:val="bg-BG"/>
        </w:rPr>
        <w:t xml:space="preserve"> </w:t>
      </w:r>
      <w:r w:rsidRPr="000A4AC1">
        <w:rPr>
          <w:b/>
          <w:lang w:val="bg-BG"/>
        </w:rPr>
        <w:t xml:space="preserve">интервенцията; </w:t>
      </w:r>
    </w:p>
    <w:tbl>
      <w:tblPr>
        <w:tblStyle w:val="TableGrid"/>
        <w:tblW w:w="0" w:type="auto"/>
        <w:tblLook w:val="04A0" w:firstRow="1" w:lastRow="0" w:firstColumn="1" w:lastColumn="0" w:noHBand="0" w:noVBand="1"/>
      </w:tblPr>
      <w:tblGrid>
        <w:gridCol w:w="9242"/>
      </w:tblGrid>
      <w:tr w:rsidR="000A4AC1" w:rsidRPr="000A4AC1" w:rsidTr="005F556B">
        <w:tc>
          <w:tcPr>
            <w:tcW w:w="9242" w:type="dxa"/>
          </w:tcPr>
          <w:p w:rsidR="00F967F2" w:rsidRPr="00E73362" w:rsidRDefault="00F967F2" w:rsidP="0069192B">
            <w:pPr>
              <w:jc w:val="both"/>
              <w:rPr>
                <w:lang w:val="bg-BG"/>
              </w:rPr>
            </w:pPr>
            <w:r w:rsidRPr="00E73362">
              <w:rPr>
                <w:lang w:val="bg-BG"/>
              </w:rPr>
              <w:t>Хранително-вкусовата промишленост (ХВП) е традиционен за страната преработващ подотрасъл, който заема значимо място в структурата на промишлеността, и в националната икономика. За земеделието, хранително-вкусовата промишленост се явява и основен пазар за реализация на продукцията, докато за самата ХВП, земеделието е източник на суровини и доходност.</w:t>
            </w:r>
          </w:p>
          <w:p w:rsidR="00F967F2" w:rsidRPr="00E73362" w:rsidRDefault="00F967F2" w:rsidP="00F967F2">
            <w:pPr>
              <w:jc w:val="both"/>
              <w:rPr>
                <w:lang w:val="bg-BG"/>
              </w:rPr>
            </w:pPr>
            <w:r w:rsidRPr="00E73362">
              <w:rPr>
                <w:lang w:val="bg-BG"/>
              </w:rPr>
              <w:t>Като се има предвид и, че над две трети от добавената стойност в ХВП за последните години се формира от производството на „храни“ може да се каже, че за периода 2001-2017 г. хранителната ни индустрия проявява сравнителни конкурентни предимства по отношение на останалите отрасли в националната икономика.</w:t>
            </w:r>
          </w:p>
          <w:p w:rsidR="0076062E" w:rsidRPr="00E73362" w:rsidRDefault="00F47FD8" w:rsidP="0076062E">
            <w:pPr>
              <w:jc w:val="both"/>
              <w:rPr>
                <w:lang w:val="bg-BG"/>
              </w:rPr>
            </w:pPr>
            <w:r w:rsidRPr="00E73362">
              <w:rPr>
                <w:lang w:val="bg-BG"/>
              </w:rPr>
              <w:t xml:space="preserve">Огромно е значението, което имат суровините за резултатите от дейността на предприятията от ХВП и особено на тези от секторите производство и преработка на месо, производство на мляко и млечни продукти, преработка и консервиране на плодове и зеленчуци. Това са сектори, които години наред имат проблем с недостига на местни суровини. </w:t>
            </w:r>
          </w:p>
          <w:p w:rsidR="0076062E" w:rsidRPr="00E73362" w:rsidRDefault="0076062E" w:rsidP="0076062E">
            <w:pPr>
              <w:jc w:val="both"/>
              <w:rPr>
                <w:lang w:val="bg-BG"/>
              </w:rPr>
            </w:pPr>
            <w:r w:rsidRPr="00E73362">
              <w:rPr>
                <w:lang w:val="bg-BG"/>
              </w:rPr>
              <w:t>В разпределението на добавената стойност по веригата в сектор „Зърно-брашно – хляб и хлебни изделия” доминира първичното производствено звено, като през 2008 г. заема 64% от цялата добавена стойност, а през 2016 г. - 50%. За периода брутната добавена стойност в производството намалява с 11%, което се дължи на спад на цените на пшеницата с 15%. В преработката и търговията е налице устойчива тенденция на нарастване. Налице са и възможности за ускоряване на този процес предвид  високата степен на самозадоволяване в сектора на зърнените култури и наличието на сравнителни конкурентни предимства на външния пазар на преработващите звена в сектора в изследвания период.</w:t>
            </w:r>
          </w:p>
          <w:p w:rsidR="00393C60" w:rsidRPr="00E73362" w:rsidRDefault="00393C60" w:rsidP="00F47FD8">
            <w:pPr>
              <w:jc w:val="both"/>
              <w:rPr>
                <w:lang w:val="bg-BG"/>
              </w:rPr>
            </w:pPr>
            <w:r w:rsidRPr="00E73362">
              <w:rPr>
                <w:lang w:val="bg-BG"/>
              </w:rPr>
              <w:t xml:space="preserve">В сектор мляко производството отбелязва спад на добавената стойност, намалението е значително. Делът на производството в секторната верига на стойността се свива два пъти. Добавената стойност в преработката и търговията расте. Дяловете на преработката и търговията в разпределението на добавената стойност по веригата на снабдяването с мляко </w:t>
            </w:r>
            <w:r w:rsidRPr="00E73362">
              <w:rPr>
                <w:lang w:val="bg-BG"/>
              </w:rPr>
              <w:lastRenderedPageBreak/>
              <w:t>нарастват два пъти за период</w:t>
            </w:r>
            <w:r w:rsidR="0076062E" w:rsidRPr="00E73362">
              <w:rPr>
                <w:lang w:val="bg-BG"/>
              </w:rPr>
              <w:t>а</w:t>
            </w:r>
            <w:r w:rsidRPr="00E73362">
              <w:rPr>
                <w:lang w:val="bg-BG"/>
              </w:rPr>
              <w:t>.</w:t>
            </w:r>
          </w:p>
          <w:p w:rsidR="00F47FD8" w:rsidRPr="00E73362" w:rsidRDefault="00393C60" w:rsidP="00F47FD8">
            <w:pPr>
              <w:jc w:val="both"/>
              <w:rPr>
                <w:lang w:val="bg-BG"/>
              </w:rPr>
            </w:pPr>
            <w:r w:rsidRPr="00E73362">
              <w:rPr>
                <w:lang w:val="bg-BG"/>
              </w:rPr>
              <w:t xml:space="preserve">В сектор производство на червено месо през целия изследван период доминира делът на първичното производство в БДС. БДС в първичното производство нараства с 29% за изследвания период. Данните за преработката показват неустойчива тенденция на нарастване през изследвания период. </w:t>
            </w:r>
            <w:r w:rsidR="00E73362" w:rsidRPr="00E73362">
              <w:rPr>
                <w:lang w:val="bg-BG"/>
              </w:rPr>
              <w:t>Налице са</w:t>
            </w:r>
            <w:r w:rsidRPr="00E73362">
              <w:rPr>
                <w:lang w:val="bg-BG"/>
              </w:rPr>
              <w:t xml:space="preserve"> значителни резерви заповишаване на добавената стойност в преработката, която за периода е на относително ниски прагове. </w:t>
            </w:r>
            <w:r w:rsidR="00F47FD8" w:rsidRPr="00E73362">
              <w:rPr>
                <w:lang w:val="bg-BG"/>
              </w:rPr>
              <w:t xml:space="preserve">Капацитетът на преработвателните предприятия за преработка на червено месо е  натоварен частично, което оскъпява продукцията и намалява тяхната конкурентоспособност. Една от причините за това е и високата степен на самозадоволяване, която се отчита в отрасъла, като по-голямата част от производството на телешко и говеждо месо се консумира директно в стопанствата и въобще не достига до преработвателите, което води до пропуснати ползи.  </w:t>
            </w:r>
          </w:p>
          <w:p w:rsidR="00393C60" w:rsidRDefault="00393C60" w:rsidP="00E73362">
            <w:pPr>
              <w:jc w:val="both"/>
              <w:rPr>
                <w:lang w:val="bg-BG"/>
              </w:rPr>
            </w:pPr>
            <w:r w:rsidRPr="00E73362">
              <w:rPr>
                <w:lang w:val="bg-BG"/>
              </w:rPr>
              <w:t>Делът на първичното производство в сектор птиче месо намалява драстично - от 76% през 2008 г. на 28% - през 2016 г. Първичното производство отбелязва устойчив спад през анализирания период. Същевременно в преработката е налице устойчива тенденция на нарастване – брутната добавена стойност нараства три пъти за изследвания период.</w:t>
            </w:r>
          </w:p>
          <w:p w:rsidR="00B06C24" w:rsidRPr="00E73362" w:rsidRDefault="00B06C24" w:rsidP="00E73362">
            <w:pPr>
              <w:jc w:val="both"/>
              <w:rPr>
                <w:lang w:val="bg-BG"/>
              </w:rPr>
            </w:pPr>
            <w:r w:rsidRPr="00896C23">
              <w:rPr>
                <w:lang w:val="bg-BG"/>
              </w:rPr>
              <w:t>По отношение производството на пчелен мед окрупняването на производството и на добитите количества мед се постига и увеличение на продажбите на преработвателните предприятия, които нарастват от около 23% в началото на разглеждания период до около 43% през 2017-2018 г. Причината за това са нарасналите обеми на производство в стопанствата и увеличеният износ на мед през годините, което изисква по-специална подготовка.</w:t>
            </w:r>
          </w:p>
          <w:p w:rsidR="00E73362" w:rsidRDefault="00393C60" w:rsidP="00E73362">
            <w:pPr>
              <w:jc w:val="both"/>
              <w:rPr>
                <w:lang w:val="bg-BG"/>
              </w:rPr>
            </w:pPr>
            <w:r w:rsidRPr="00E73362">
              <w:rPr>
                <w:lang w:val="bg-BG"/>
              </w:rPr>
              <w:t>Относителният дял на производството на плодове и зеленчуци в секторната верига на стойността се свива значително през изследвания период – от 72% през 2008 г. до 41% през 2016 г. Влошават се условията за оцеляване, инвестиране, иновации и развитие на земеделското производство в този сектор и следователно за осигуряване на достатъчно количество качествена суровина за преработката. Консервната промишленост в изследвания период регистрира пропуснати ползи (отрицателен търговски баланс, нереализирана продукция), които се дължат именно на проблеми със суровинната база. Недостигът на качествена местна суровина е причина преработвателните предприятия да натоварват много малка част от капацитета си, което увеличава разходите за единица продукция, т. е. оскъпява продукцията и намалява тяхната ценова конкурентоспособност.</w:t>
            </w:r>
          </w:p>
          <w:p w:rsidR="00A50D1B" w:rsidRPr="00A50D1B" w:rsidRDefault="00A50D1B" w:rsidP="00A50D1B">
            <w:pPr>
              <w:jc w:val="both"/>
              <w:rPr>
                <w:lang w:val="bg-BG"/>
              </w:rPr>
            </w:pPr>
            <w:r w:rsidRPr="00A50D1B">
              <w:rPr>
                <w:lang w:val="bg-BG"/>
              </w:rPr>
              <w:t>Производството на етерични масла в страната бележи осезаемо увеличение, като най-голямо е то при розите, лавандулата, маточината, като причината е в търсене на диверсификация на полското производство и добрата доходност при тези нишови продукти, като е налице потенциал за допълнително развитие на веригата на стойността защото при по-добра интеграция на тези производства с парфюмерийната, козметична и фармацевтична индустрия, по-голяма част от създаваната стойност може да остава в страната.</w:t>
            </w:r>
          </w:p>
          <w:p w:rsidR="00A50D1B" w:rsidRDefault="00393C60" w:rsidP="00E73362">
            <w:pPr>
              <w:jc w:val="both"/>
              <w:rPr>
                <w:lang w:val="bg-BG"/>
              </w:rPr>
            </w:pPr>
            <w:r w:rsidRPr="00A50D1B">
              <w:rPr>
                <w:lang w:val="bg-BG"/>
              </w:rPr>
              <w:t xml:space="preserve">Разпределението на добавената стойност в секторната верига на техническите култури </w:t>
            </w:r>
            <w:r w:rsidRPr="00E73362">
              <w:rPr>
                <w:lang w:val="bg-BG"/>
              </w:rPr>
              <w:t>се оказва сравнително стабилно и в него категорично доминира първичното производствено звено. Делът на преработката е нисък и устойчиво намаляващ, което е индикатор за пропуснати ползи по линията на добавената стойност, още повече като се има предвид, че производството на мазнини от растителен произход има конкурентни предимства на външния пазар. Съществуват значителни резерви за повишаване на добавената стойност в преработката, предвид високите стойности, силната концентрация и качество на производството на маслодайни култури</w:t>
            </w:r>
            <w:r w:rsidR="00A50D1B">
              <w:rPr>
                <w:lang w:val="bg-BG"/>
              </w:rPr>
              <w:t>.</w:t>
            </w:r>
          </w:p>
          <w:p w:rsidR="00DC59A4" w:rsidRPr="00E73362" w:rsidRDefault="00F47FD8" w:rsidP="00F47FD8">
            <w:pPr>
              <w:jc w:val="both"/>
              <w:rPr>
                <w:lang w:val="bg-BG"/>
              </w:rPr>
            </w:pPr>
            <w:r w:rsidRPr="00E73362">
              <w:rPr>
                <w:lang w:val="bg-BG"/>
              </w:rPr>
              <w:t xml:space="preserve">По отношение на позицията на секторите на ХВП в създаването и разпределението на добавената стойност в секторните вериги на храните за анализирания период са установени следните неблагоприятни тенденции, пропуснати ползи, неизползвани резерви за повишаване на добавената стойност. </w:t>
            </w:r>
          </w:p>
          <w:p w:rsidR="00F47FD8" w:rsidRPr="00E73362" w:rsidRDefault="00F47FD8" w:rsidP="00F47FD8">
            <w:pPr>
              <w:jc w:val="both"/>
              <w:rPr>
                <w:lang w:val="bg-BG"/>
              </w:rPr>
            </w:pPr>
            <w:r w:rsidRPr="00E73362">
              <w:rPr>
                <w:lang w:val="bg-BG"/>
              </w:rPr>
              <w:t xml:space="preserve">Процесът на създаване на добавена стойност в отрасъла се възпрепятства от ниското равнище на иновации и недостатъчен потенциал за иновационни внедрявания. Решаването на проблема изисква използване на публична подкрепа за трансфер на знания към предприятията (предоставяне на знания, свързани с иновации на продукти, процеси и услуги). </w:t>
            </w:r>
          </w:p>
          <w:p w:rsidR="00D202D8" w:rsidRDefault="00D747EA" w:rsidP="005E111D">
            <w:pPr>
              <w:jc w:val="both"/>
              <w:rPr>
                <w:lang w:val="bg-BG"/>
              </w:rPr>
            </w:pPr>
            <w:r w:rsidRPr="00E73362">
              <w:rPr>
                <w:lang w:val="bg-BG"/>
              </w:rPr>
              <w:t xml:space="preserve">За устойчивото функциониране на ХВП е необходимо разпределение на значителен дял </w:t>
            </w:r>
            <w:r w:rsidRPr="00E73362">
              <w:rPr>
                <w:lang w:val="bg-BG"/>
              </w:rPr>
              <w:lastRenderedPageBreak/>
              <w:t xml:space="preserve">национални производствени фактори и от особено значение е развитието на суровинна база и оптимизирането на икономическите връзки с доставчиците на суровини. Така ще се увеличи ефективността на производството като се намалят високите постоянни разходи в ключови </w:t>
            </w:r>
            <w:proofErr w:type="spellStart"/>
            <w:r w:rsidRPr="00E73362">
              <w:rPr>
                <w:lang w:val="bg-BG"/>
              </w:rPr>
              <w:t>сектри</w:t>
            </w:r>
            <w:proofErr w:type="spellEnd"/>
            <w:r w:rsidRPr="00E73362">
              <w:rPr>
                <w:lang w:val="bg-BG"/>
              </w:rPr>
              <w:t xml:space="preserve"> като </w:t>
            </w:r>
            <w:proofErr w:type="spellStart"/>
            <w:r w:rsidRPr="00E73362">
              <w:rPr>
                <w:lang w:val="bg-BG"/>
              </w:rPr>
              <w:t>млекопреработка</w:t>
            </w:r>
            <w:proofErr w:type="spellEnd"/>
            <w:r w:rsidRPr="00E73362">
              <w:rPr>
                <w:lang w:val="bg-BG"/>
              </w:rPr>
              <w:t>, консервната промишленост и месопреработка, произтичащи от вече изградените мощности за преработка.</w:t>
            </w:r>
            <w:r w:rsidR="00D202D8">
              <w:rPr>
                <w:lang w:val="bg-BG"/>
              </w:rPr>
              <w:t xml:space="preserve"> </w:t>
            </w:r>
          </w:p>
          <w:p w:rsidR="00D202D8" w:rsidRDefault="00F47FD8" w:rsidP="005E111D">
            <w:pPr>
              <w:jc w:val="both"/>
              <w:rPr>
                <w:lang w:val="bg-BG"/>
              </w:rPr>
            </w:pPr>
            <w:r w:rsidRPr="00E73362">
              <w:rPr>
                <w:lang w:val="bg-BG"/>
              </w:rPr>
              <w:t>Налага се необходимостта от осигуряване на подкрепа за иновации и инвестиции  в модернизиране на предприятията от ХВП. От ключово значение за повишаване на добавената стойност в ХВП е ефективната инвестиционната подкрепа, измерена с коефициент на инвестиране</w:t>
            </w:r>
            <w:r w:rsidR="006344DD" w:rsidRPr="00E73362">
              <w:rPr>
                <w:lang w:val="bg-BG"/>
              </w:rPr>
              <w:t>.</w:t>
            </w:r>
            <w:r w:rsidR="00E73362" w:rsidRPr="00E73362">
              <w:rPr>
                <w:lang w:val="bg-BG"/>
              </w:rPr>
              <w:t xml:space="preserve"> </w:t>
            </w:r>
          </w:p>
          <w:p w:rsidR="005E111D" w:rsidRPr="00E73362" w:rsidRDefault="00E73362" w:rsidP="005E111D">
            <w:pPr>
              <w:jc w:val="both"/>
              <w:rPr>
                <w:lang w:val="bg-BG"/>
              </w:rPr>
            </w:pPr>
            <w:r w:rsidRPr="00E73362">
              <w:rPr>
                <w:lang w:val="bg-BG"/>
              </w:rPr>
              <w:t>Огромно е значението, което имат суровините за резултатите от дейността на предприятията от ХВП и особено на тези от секторите производство и преработка на месо, производство на мляко и млечни продукти, преработка и консервиране на плодове и зеленчуци. Това са сектори, които години наред имат проблем с недостига на суровинии поради това имат големи разходи за вносни суровини, което се отразява негативно на всички аспекти на тяхното производство - цени, количество, качество, асортимент.</w:t>
            </w:r>
          </w:p>
        </w:tc>
      </w:tr>
    </w:tbl>
    <w:p w:rsidR="005F556B" w:rsidRPr="00341EFA" w:rsidRDefault="005F556B" w:rsidP="005F556B">
      <w:pPr>
        <w:jc w:val="both"/>
        <w:rPr>
          <w:color w:val="FF0000"/>
          <w:lang w:val="bg-BG"/>
        </w:rPr>
      </w:pPr>
    </w:p>
    <w:p w:rsidR="00BC2D56" w:rsidRPr="007C5364" w:rsidRDefault="005F556B" w:rsidP="0046113A">
      <w:pPr>
        <w:pStyle w:val="ListParagraph"/>
        <w:numPr>
          <w:ilvl w:val="0"/>
          <w:numId w:val="2"/>
        </w:numPr>
        <w:spacing w:line="240" w:lineRule="auto"/>
        <w:jc w:val="both"/>
        <w:rPr>
          <w:b/>
          <w:lang w:val="bg-BG"/>
        </w:rPr>
      </w:pPr>
      <w:r w:rsidRPr="007C5364">
        <w:rPr>
          <w:b/>
          <w:lang w:val="bg-BG"/>
        </w:rPr>
        <w:t xml:space="preserve">Идентифициране на съответните базови елементи (напр. </w:t>
      </w:r>
      <w:r w:rsidR="004D47EE" w:rsidRPr="007C5364">
        <w:rPr>
          <w:b/>
          <w:lang w:val="bg-BG"/>
        </w:rPr>
        <w:t xml:space="preserve">съответните </w:t>
      </w:r>
      <w:r w:rsidRPr="007C5364">
        <w:rPr>
          <w:b/>
          <w:lang w:val="bg-BG"/>
        </w:rPr>
        <w:t>GAEC или нормативно установени изисквания за управление (SMR), където е приложимо, и обяснение за това как ангажиментите надхвърлят задължителните изисквания:</w:t>
      </w:r>
    </w:p>
    <w:p w:rsidR="005F556B" w:rsidRPr="007C5364" w:rsidRDefault="00BC2D56" w:rsidP="005F556B">
      <w:pPr>
        <w:spacing w:line="240" w:lineRule="auto"/>
        <w:jc w:val="both"/>
        <w:rPr>
          <w:i/>
          <w:lang w:val="bg-BG"/>
        </w:rPr>
      </w:pPr>
      <w:r w:rsidRPr="007C5364">
        <w:rPr>
          <w:i/>
          <w:lang w:val="bg-BG"/>
        </w:rPr>
        <w:t>/за интервенции в областта на околната среда и климата, артикулацията с изискванията за условност трябва да показват, че практиките се допълват и не се припокриват/</w:t>
      </w:r>
    </w:p>
    <w:tbl>
      <w:tblPr>
        <w:tblStyle w:val="TableGrid"/>
        <w:tblW w:w="0" w:type="auto"/>
        <w:tblLook w:val="04A0" w:firstRow="1" w:lastRow="0" w:firstColumn="1" w:lastColumn="0" w:noHBand="0" w:noVBand="1"/>
      </w:tblPr>
      <w:tblGrid>
        <w:gridCol w:w="9242"/>
      </w:tblGrid>
      <w:tr w:rsidR="007C5364" w:rsidRPr="007C5364" w:rsidTr="005F556B">
        <w:tc>
          <w:tcPr>
            <w:tcW w:w="9242" w:type="dxa"/>
          </w:tcPr>
          <w:p w:rsidR="005F556B" w:rsidRPr="007C5364" w:rsidRDefault="005E111D" w:rsidP="005F556B">
            <w:pPr>
              <w:jc w:val="both"/>
              <w:rPr>
                <w:lang w:val="bg-BG"/>
              </w:rPr>
            </w:pPr>
            <w:r w:rsidRPr="007C5364">
              <w:rPr>
                <w:lang w:val="bg-BG"/>
              </w:rPr>
              <w:t>Не приложимо за конкретния тип интервенция</w:t>
            </w:r>
            <w:r w:rsidR="004B5C67" w:rsidRPr="007C5364">
              <w:rPr>
                <w:lang w:val="bg-BG"/>
              </w:rPr>
              <w:t xml:space="preserve"> </w:t>
            </w:r>
          </w:p>
        </w:tc>
      </w:tr>
    </w:tbl>
    <w:p w:rsidR="005F556B" w:rsidRPr="00341EFA" w:rsidRDefault="005F556B" w:rsidP="005F556B">
      <w:pPr>
        <w:spacing w:line="240" w:lineRule="auto"/>
        <w:jc w:val="both"/>
        <w:rPr>
          <w:b/>
          <w:color w:val="FF0000"/>
          <w:lang w:val="bg-BG"/>
        </w:rPr>
      </w:pPr>
    </w:p>
    <w:p w:rsidR="005F556B" w:rsidRPr="007C5364" w:rsidRDefault="005F556B" w:rsidP="0046113A">
      <w:pPr>
        <w:pStyle w:val="ListParagraph"/>
        <w:numPr>
          <w:ilvl w:val="0"/>
          <w:numId w:val="2"/>
        </w:numPr>
        <w:spacing w:line="240" w:lineRule="auto"/>
        <w:jc w:val="both"/>
        <w:rPr>
          <w:b/>
          <w:lang w:val="bg-BG"/>
        </w:rPr>
      </w:pPr>
      <w:r w:rsidRPr="007C5364">
        <w:rPr>
          <w:b/>
          <w:lang w:val="bg-BG"/>
        </w:rPr>
        <w:t>Условия за допустимост:</w:t>
      </w:r>
    </w:p>
    <w:tbl>
      <w:tblPr>
        <w:tblStyle w:val="TableGrid"/>
        <w:tblW w:w="0" w:type="auto"/>
        <w:tblLook w:val="04A0" w:firstRow="1" w:lastRow="0" w:firstColumn="1" w:lastColumn="0" w:noHBand="0" w:noVBand="1"/>
      </w:tblPr>
      <w:tblGrid>
        <w:gridCol w:w="9242"/>
      </w:tblGrid>
      <w:tr w:rsidR="005F556B" w:rsidRPr="00356052" w:rsidTr="005F556B">
        <w:tc>
          <w:tcPr>
            <w:tcW w:w="9242" w:type="dxa"/>
          </w:tcPr>
          <w:p w:rsidR="00CE283B" w:rsidRPr="003E341C" w:rsidRDefault="007C5364" w:rsidP="007C5364">
            <w:pPr>
              <w:jc w:val="both"/>
              <w:rPr>
                <w:lang w:val="bg-BG"/>
              </w:rPr>
            </w:pPr>
            <w:r w:rsidRPr="003E341C">
              <w:rPr>
                <w:b/>
                <w:lang w:val="bg-BG"/>
              </w:rPr>
              <w:t xml:space="preserve">Инвестициите допустими за подпомагане в рамките на интервенцията трябва са свързани с </w:t>
            </w:r>
            <w:r w:rsidR="00CE283B" w:rsidRPr="003E341C">
              <w:rPr>
                <w:b/>
                <w:lang w:val="bg-BG"/>
              </w:rPr>
              <w:t>преработката или маркетинг</w:t>
            </w:r>
            <w:r w:rsidRPr="003E341C">
              <w:rPr>
                <w:b/>
                <w:lang w:val="bg-BG"/>
              </w:rPr>
              <w:t xml:space="preserve"> на селскостопански продукти включени в приложение I на Договора</w:t>
            </w:r>
            <w:r w:rsidR="00CE283B" w:rsidRPr="003E341C">
              <w:t xml:space="preserve"> </w:t>
            </w:r>
            <w:r w:rsidR="00CE283B" w:rsidRPr="003E341C">
              <w:rPr>
                <w:b/>
                <w:lang w:val="bg-BG"/>
              </w:rPr>
              <w:t>за функционирането на Европейския съюз</w:t>
            </w:r>
            <w:r w:rsidRPr="003E341C">
              <w:rPr>
                <w:b/>
                <w:lang w:val="bg-BG"/>
              </w:rPr>
              <w:t xml:space="preserve"> или памук, с изключение на риба и рибни продукти. Допустимите за подпомагане дейности в рамките на интервенцията, могат да включват материални и нематериални инвестиции.</w:t>
            </w:r>
            <w:r w:rsidR="00CE283B" w:rsidRPr="003E341C">
              <w:t xml:space="preserve"> </w:t>
            </w:r>
          </w:p>
          <w:p w:rsidR="003E341C" w:rsidRDefault="003E341C" w:rsidP="007C5364">
            <w:pPr>
              <w:jc w:val="both"/>
              <w:rPr>
                <w:b/>
                <w:lang w:val="bg-BG"/>
              </w:rPr>
            </w:pPr>
          </w:p>
          <w:p w:rsidR="007C5364" w:rsidRDefault="00CE283B" w:rsidP="007C5364">
            <w:pPr>
              <w:jc w:val="both"/>
              <w:rPr>
                <w:b/>
                <w:lang w:val="bg-BG"/>
              </w:rPr>
            </w:pPr>
            <w:r w:rsidRPr="003E341C">
              <w:rPr>
                <w:b/>
                <w:lang w:val="bg-BG"/>
              </w:rPr>
              <w:t>Резултатът от преработката на селскостопански продукти може да бъде продукт, който не е включен в обхвата на приложение I на Договора</w:t>
            </w:r>
            <w:r w:rsidRPr="003E341C">
              <w:t xml:space="preserve"> </w:t>
            </w:r>
            <w:r w:rsidRPr="003E341C">
              <w:rPr>
                <w:b/>
                <w:lang w:val="bg-BG"/>
              </w:rPr>
              <w:t>за функционирането на Европейския съюз</w:t>
            </w:r>
            <w:r w:rsidR="003E341C" w:rsidRPr="003E341C">
              <w:rPr>
                <w:b/>
                <w:lang w:val="bg-BG"/>
              </w:rPr>
              <w:t xml:space="preserve">, като проектното предложение трябва да е в съответствие с </w:t>
            </w:r>
            <w:r w:rsidRPr="003E341C">
              <w:rPr>
                <w:b/>
                <w:lang w:val="bg-BG"/>
              </w:rPr>
              <w:t>избрания режим за прилагане на държавна помощ</w:t>
            </w:r>
            <w:r w:rsidR="003E341C" w:rsidRPr="003E341C">
              <w:rPr>
                <w:b/>
                <w:lang w:val="bg-BG"/>
              </w:rPr>
              <w:t xml:space="preserve"> по интервенцията</w:t>
            </w:r>
            <w:r w:rsidRPr="003E341C">
              <w:rPr>
                <w:b/>
                <w:lang w:val="bg-BG"/>
              </w:rPr>
              <w:t>.</w:t>
            </w:r>
          </w:p>
          <w:p w:rsidR="003E341C" w:rsidRPr="003E341C" w:rsidRDefault="003E341C" w:rsidP="007C5364">
            <w:pPr>
              <w:jc w:val="both"/>
              <w:rPr>
                <w:b/>
                <w:lang w:val="bg-BG"/>
              </w:rPr>
            </w:pPr>
          </w:p>
          <w:p w:rsidR="007C5364" w:rsidRPr="00356052" w:rsidRDefault="007C5364" w:rsidP="007C5364">
            <w:pPr>
              <w:pStyle w:val="ListParagraph"/>
              <w:numPr>
                <w:ilvl w:val="0"/>
                <w:numId w:val="7"/>
              </w:numPr>
              <w:ind w:left="142" w:hanging="142"/>
              <w:jc w:val="both"/>
              <w:rPr>
                <w:lang w:val="bg-BG"/>
              </w:rPr>
            </w:pPr>
            <w:r w:rsidRPr="00356052">
              <w:rPr>
                <w:lang w:val="bg-BG"/>
              </w:rPr>
              <w:t>За инвестициите включени в проектното предложение, задължително ще се изисква положително решение за оценка за въздействието върху околната среда (ОВОС), освен в случаите, когато такава не се изисква от Закона за опазване на околната среда. В случай, на  инвестиции попадащи в територии от Натура 2000, същите трябва да бъдат проверявани и за съответствие с разпоредбите на Закона за биологичното разнообразие и съответните подзаконови нормативни актове за неговото прилагане.</w:t>
            </w:r>
          </w:p>
          <w:p w:rsidR="007C5364" w:rsidRPr="00356052" w:rsidRDefault="007C5364" w:rsidP="007C5364">
            <w:pPr>
              <w:pStyle w:val="ListParagraph"/>
              <w:numPr>
                <w:ilvl w:val="0"/>
                <w:numId w:val="7"/>
              </w:numPr>
              <w:spacing w:after="200" w:line="276" w:lineRule="auto"/>
              <w:ind w:left="142" w:hanging="142"/>
              <w:jc w:val="both"/>
              <w:rPr>
                <w:lang w:val="bg-BG"/>
              </w:rPr>
            </w:pPr>
            <w:r w:rsidRPr="00356052">
              <w:rPr>
                <w:lang w:val="bg-BG"/>
              </w:rPr>
              <w:t>Материалните и нематериалните инвестиции включени в проектното предложение трябва да са в съответствие с параметрите и дейностите</w:t>
            </w:r>
            <w:r w:rsidR="00CE283B" w:rsidRPr="00356052">
              <w:rPr>
                <w:lang w:val="bg-BG"/>
              </w:rPr>
              <w:t xml:space="preserve"> по преработка на селскостопански продукти</w:t>
            </w:r>
            <w:r w:rsidRPr="00356052">
              <w:rPr>
                <w:lang w:val="bg-BG"/>
              </w:rPr>
              <w:t>, обект на подпомагане и включени в разработения бизнес план;</w:t>
            </w:r>
          </w:p>
          <w:p w:rsidR="007C5364" w:rsidRPr="00356052" w:rsidRDefault="00356052" w:rsidP="007C5364">
            <w:pPr>
              <w:jc w:val="both"/>
              <w:rPr>
                <w:b/>
                <w:lang w:val="bg-BG"/>
              </w:rPr>
            </w:pPr>
            <w:r w:rsidRPr="00356052">
              <w:rPr>
                <w:b/>
                <w:lang w:val="bg-BG"/>
              </w:rPr>
              <w:t>Кандидатите</w:t>
            </w:r>
            <w:r w:rsidR="007C5364" w:rsidRPr="00356052">
              <w:rPr>
                <w:b/>
                <w:lang w:val="bg-BG"/>
              </w:rPr>
              <w:t xml:space="preserve"> допустими за подпомагане трябва да отговарят и на следните условия:</w:t>
            </w:r>
          </w:p>
          <w:p w:rsidR="00356052" w:rsidRPr="00356052" w:rsidRDefault="007C5364" w:rsidP="00356052">
            <w:pPr>
              <w:pStyle w:val="ListParagraph"/>
              <w:numPr>
                <w:ilvl w:val="0"/>
                <w:numId w:val="7"/>
              </w:numPr>
              <w:spacing w:after="200" w:line="276" w:lineRule="auto"/>
              <w:ind w:left="142" w:hanging="142"/>
              <w:jc w:val="both"/>
              <w:rPr>
                <w:lang w:val="bg-BG"/>
              </w:rPr>
            </w:pPr>
            <w:r w:rsidRPr="00356052">
              <w:rPr>
                <w:lang w:val="bg-BG"/>
              </w:rPr>
              <w:t>да са физически или</w:t>
            </w:r>
            <w:r w:rsidR="00CE283B" w:rsidRPr="00356052">
              <w:rPr>
                <w:lang w:val="bg-BG"/>
              </w:rPr>
              <w:t xml:space="preserve"> </w:t>
            </w:r>
            <w:r w:rsidRPr="00356052">
              <w:rPr>
                <w:lang w:val="bg-BG"/>
              </w:rPr>
              <w:t>юридически лица регистрирани по Търговския закон или Закона за кооперациите</w:t>
            </w:r>
            <w:r w:rsidR="00356052" w:rsidRPr="00356052">
              <w:rPr>
                <w:lang w:val="bg-BG"/>
              </w:rPr>
              <w:t xml:space="preserve">, вкл. пазари на производители регистрирани съгласно Закона за стоковите </w:t>
            </w:r>
            <w:r w:rsidR="00356052" w:rsidRPr="00356052">
              <w:rPr>
                <w:lang w:val="bg-BG"/>
              </w:rPr>
              <w:lastRenderedPageBreak/>
              <w:t>борси и тържища;</w:t>
            </w:r>
          </w:p>
          <w:p w:rsidR="00487049" w:rsidRPr="007E0D90" w:rsidRDefault="00356052" w:rsidP="00487049">
            <w:pPr>
              <w:pStyle w:val="ListParagraph"/>
              <w:numPr>
                <w:ilvl w:val="0"/>
                <w:numId w:val="7"/>
              </w:numPr>
              <w:spacing w:after="200"/>
              <w:ind w:left="142" w:hanging="142"/>
              <w:jc w:val="both"/>
            </w:pPr>
            <w:r w:rsidRPr="00356052">
              <w:rPr>
                <w:lang w:val="bg-BG"/>
              </w:rPr>
              <w:t>да са микро, малки, средни или големи* предприятия, дефинирани съгласно Препоръка 2003/361/ЕО на Комисията.</w:t>
            </w:r>
            <w:r w:rsidR="00487049">
              <w:rPr>
                <w:lang w:val="bg-BG"/>
              </w:rPr>
              <w:t xml:space="preserve"> </w:t>
            </w:r>
            <w:r w:rsidR="00487049">
              <w:rPr>
                <w:lang w:val="en-US"/>
              </w:rPr>
              <w:t>(</w:t>
            </w:r>
            <w:r w:rsidR="00487049" w:rsidRPr="00487049">
              <w:t xml:space="preserve">* </w:t>
            </w:r>
            <w:proofErr w:type="spellStart"/>
            <w:r w:rsidR="00487049" w:rsidRPr="00487049">
              <w:t>Предприятия</w:t>
            </w:r>
            <w:proofErr w:type="spellEnd"/>
            <w:r w:rsidR="00487049" w:rsidRPr="00487049">
              <w:t xml:space="preserve">, </w:t>
            </w:r>
            <w:proofErr w:type="spellStart"/>
            <w:r w:rsidR="00487049" w:rsidRPr="00487049">
              <w:t>които</w:t>
            </w:r>
            <w:proofErr w:type="spellEnd"/>
            <w:r w:rsidR="00487049" w:rsidRPr="00487049">
              <w:t xml:space="preserve"> </w:t>
            </w:r>
            <w:r w:rsidR="00487049">
              <w:rPr>
                <w:lang w:val="bg-BG"/>
              </w:rPr>
              <w:t>надвишават</w:t>
            </w:r>
            <w:r w:rsidR="00487049" w:rsidRPr="00487049">
              <w:t xml:space="preserve"> </w:t>
            </w:r>
            <w:proofErr w:type="spellStart"/>
            <w:r w:rsidR="00487049" w:rsidRPr="00487049">
              <w:t>критериите</w:t>
            </w:r>
            <w:proofErr w:type="spellEnd"/>
            <w:r w:rsidR="00487049" w:rsidRPr="00487049">
              <w:t xml:space="preserve"> </w:t>
            </w:r>
            <w:proofErr w:type="spellStart"/>
            <w:r w:rsidR="00487049" w:rsidRPr="00487049">
              <w:t>посочени</w:t>
            </w:r>
            <w:proofErr w:type="spellEnd"/>
            <w:r w:rsidR="00487049" w:rsidRPr="00487049">
              <w:t xml:space="preserve"> в </w:t>
            </w:r>
            <w:proofErr w:type="spellStart"/>
            <w:r w:rsidR="00487049" w:rsidRPr="00487049">
              <w:t>чл</w:t>
            </w:r>
            <w:proofErr w:type="spellEnd"/>
            <w:r w:rsidR="00487049" w:rsidRPr="00487049">
              <w:t>.</w:t>
            </w:r>
            <w:r w:rsidR="00487049">
              <w:rPr>
                <w:lang w:val="bg-BG"/>
              </w:rPr>
              <w:t xml:space="preserve"> </w:t>
            </w:r>
            <w:r w:rsidR="00487049" w:rsidRPr="00487049">
              <w:t xml:space="preserve">3, </w:t>
            </w:r>
            <w:proofErr w:type="spellStart"/>
            <w:r w:rsidR="00487049" w:rsidRPr="007E0D90">
              <w:t>ал</w:t>
            </w:r>
            <w:proofErr w:type="spellEnd"/>
            <w:r w:rsidR="00487049" w:rsidRPr="007E0D90">
              <w:t>.</w:t>
            </w:r>
            <w:r w:rsidR="00487049" w:rsidRPr="007E0D90">
              <w:rPr>
                <w:lang w:val="bg-BG"/>
              </w:rPr>
              <w:t xml:space="preserve"> </w:t>
            </w:r>
            <w:r w:rsidR="00487049" w:rsidRPr="007E0D90">
              <w:t xml:space="preserve">1 </w:t>
            </w:r>
            <w:proofErr w:type="spellStart"/>
            <w:r w:rsidR="00487049" w:rsidRPr="007E0D90">
              <w:t>от</w:t>
            </w:r>
            <w:proofErr w:type="spellEnd"/>
            <w:r w:rsidR="00487049" w:rsidRPr="007E0D90">
              <w:t xml:space="preserve"> </w:t>
            </w:r>
            <w:proofErr w:type="spellStart"/>
            <w:r w:rsidR="00487049" w:rsidRPr="007E0D90">
              <w:t>Закон</w:t>
            </w:r>
            <w:proofErr w:type="spellEnd"/>
            <w:r w:rsidR="00487049" w:rsidRPr="007E0D90">
              <w:t xml:space="preserve"> </w:t>
            </w:r>
            <w:proofErr w:type="spellStart"/>
            <w:r w:rsidR="00487049" w:rsidRPr="007E0D90">
              <w:t>за</w:t>
            </w:r>
            <w:proofErr w:type="spellEnd"/>
            <w:r w:rsidR="00487049" w:rsidRPr="007E0D90">
              <w:t xml:space="preserve"> </w:t>
            </w:r>
            <w:proofErr w:type="spellStart"/>
            <w:r w:rsidR="00487049" w:rsidRPr="007E0D90">
              <w:t>малки</w:t>
            </w:r>
            <w:proofErr w:type="spellEnd"/>
            <w:r w:rsidR="00487049" w:rsidRPr="007E0D90">
              <w:t xml:space="preserve"> и </w:t>
            </w:r>
            <w:proofErr w:type="spellStart"/>
            <w:r w:rsidR="00487049" w:rsidRPr="007E0D90">
              <w:t>средни</w:t>
            </w:r>
            <w:proofErr w:type="spellEnd"/>
            <w:r w:rsidR="00487049" w:rsidRPr="007E0D90">
              <w:t xml:space="preserve"> </w:t>
            </w:r>
            <w:proofErr w:type="spellStart"/>
            <w:r w:rsidR="00487049" w:rsidRPr="007E0D90">
              <w:t>предприятия</w:t>
            </w:r>
            <w:proofErr w:type="spellEnd"/>
            <w:r w:rsidR="00487049" w:rsidRPr="007E0D90">
              <w:t>)</w:t>
            </w:r>
            <w:r w:rsidR="00487049" w:rsidRPr="007E0D90">
              <w:rPr>
                <w:lang w:val="bg-BG"/>
              </w:rPr>
              <w:t>;</w:t>
            </w:r>
          </w:p>
          <w:p w:rsidR="00F7055B" w:rsidRPr="007E0D90" w:rsidRDefault="00F7055B" w:rsidP="00487049">
            <w:pPr>
              <w:pStyle w:val="ListParagraph"/>
              <w:numPr>
                <w:ilvl w:val="0"/>
                <w:numId w:val="7"/>
              </w:numPr>
              <w:spacing w:after="200"/>
              <w:ind w:left="142" w:hanging="142"/>
              <w:jc w:val="both"/>
            </w:pPr>
            <w:r w:rsidRPr="007E0D90">
              <w:rPr>
                <w:lang w:val="bg-BG"/>
              </w:rPr>
              <w:t xml:space="preserve">да осъществяват дейност от най – малко </w:t>
            </w:r>
            <w:r w:rsidR="00250C55" w:rsidRPr="007E0D90">
              <w:rPr>
                <w:lang w:val="bg-BG"/>
              </w:rPr>
              <w:t>36</w:t>
            </w:r>
            <w:r w:rsidRPr="007E0D90">
              <w:rPr>
                <w:lang w:val="bg-BG"/>
              </w:rPr>
              <w:t xml:space="preserve"> месеца преди подаване на проектното предложение;</w:t>
            </w:r>
          </w:p>
          <w:p w:rsidR="007C5364" w:rsidRPr="00F9076B" w:rsidRDefault="007C5364" w:rsidP="007C5364">
            <w:pPr>
              <w:pStyle w:val="ListParagraph"/>
              <w:numPr>
                <w:ilvl w:val="0"/>
                <w:numId w:val="7"/>
              </w:numPr>
              <w:ind w:left="142" w:hanging="142"/>
              <w:jc w:val="both"/>
              <w:rPr>
                <w:lang w:val="bg-BG"/>
              </w:rPr>
            </w:pPr>
            <w:r w:rsidRPr="007E0D90">
              <w:rPr>
                <w:lang w:val="bg-BG"/>
              </w:rPr>
              <w:t>да имат разработен</w:t>
            </w:r>
            <w:r w:rsidRPr="00356052">
              <w:rPr>
                <w:lang w:val="bg-BG"/>
              </w:rPr>
              <w:t xml:space="preserve"> бизнес план за дейностите </w:t>
            </w:r>
            <w:r w:rsidR="00356052" w:rsidRPr="00356052">
              <w:rPr>
                <w:lang w:val="bg-BG"/>
              </w:rPr>
              <w:t>по преработка на селскостопански продукти</w:t>
            </w:r>
            <w:r w:rsidRPr="00356052">
              <w:rPr>
                <w:lang w:val="bg-BG"/>
              </w:rPr>
              <w:t xml:space="preserve"> и доказващ подобряване на дейността на </w:t>
            </w:r>
            <w:r w:rsidR="00356052" w:rsidRPr="00356052">
              <w:rPr>
                <w:lang w:val="bg-BG"/>
              </w:rPr>
              <w:t>кандидата</w:t>
            </w:r>
            <w:r w:rsidRPr="00356052">
              <w:rPr>
                <w:lang w:val="bg-BG"/>
              </w:rPr>
              <w:t xml:space="preserve"> чрез прилагане на планираните инвестиции и дейности;</w:t>
            </w:r>
          </w:p>
          <w:p w:rsidR="000251E5" w:rsidRDefault="000251E5" w:rsidP="000251E5">
            <w:pPr>
              <w:jc w:val="both"/>
              <w:rPr>
                <w:lang w:val="en-US"/>
              </w:rPr>
            </w:pPr>
          </w:p>
          <w:p w:rsidR="000251E5" w:rsidRPr="00205FAF" w:rsidRDefault="000251E5" w:rsidP="000251E5">
            <w:pPr>
              <w:jc w:val="both"/>
              <w:rPr>
                <w:b/>
                <w:lang w:val="en-US"/>
              </w:rPr>
            </w:pPr>
            <w:r w:rsidRPr="00205FAF">
              <w:rPr>
                <w:b/>
                <w:lang w:val="bg-BG"/>
              </w:rPr>
              <w:t>Кандидатите з</w:t>
            </w:r>
            <w:proofErr w:type="spellStart"/>
            <w:r w:rsidRPr="00205FAF">
              <w:rPr>
                <w:b/>
                <w:lang w:val="en-US"/>
              </w:rPr>
              <w:t>емеделски</w:t>
            </w:r>
            <w:proofErr w:type="spellEnd"/>
            <w:r w:rsidRPr="00205FAF">
              <w:rPr>
                <w:b/>
                <w:lang w:val="en-US"/>
              </w:rPr>
              <w:t xml:space="preserve"> </w:t>
            </w:r>
            <w:proofErr w:type="spellStart"/>
            <w:r w:rsidRPr="00205FAF">
              <w:rPr>
                <w:b/>
                <w:lang w:val="en-US"/>
              </w:rPr>
              <w:t>стопани</w:t>
            </w:r>
            <w:proofErr w:type="spellEnd"/>
            <w:r w:rsidRPr="00205FAF">
              <w:rPr>
                <w:b/>
                <w:lang w:val="en-US"/>
              </w:rPr>
              <w:t xml:space="preserve"> </w:t>
            </w:r>
            <w:proofErr w:type="spellStart"/>
            <w:r w:rsidRPr="00205FAF">
              <w:rPr>
                <w:b/>
                <w:lang w:val="en-US"/>
              </w:rPr>
              <w:t>допустими</w:t>
            </w:r>
            <w:proofErr w:type="spellEnd"/>
            <w:r w:rsidRPr="00205FAF">
              <w:rPr>
                <w:b/>
                <w:lang w:val="en-US"/>
              </w:rPr>
              <w:t xml:space="preserve"> </w:t>
            </w:r>
            <w:proofErr w:type="spellStart"/>
            <w:r w:rsidRPr="00205FAF">
              <w:rPr>
                <w:b/>
                <w:lang w:val="en-US"/>
              </w:rPr>
              <w:t>за</w:t>
            </w:r>
            <w:proofErr w:type="spellEnd"/>
            <w:r w:rsidRPr="00205FAF">
              <w:rPr>
                <w:b/>
                <w:lang w:val="en-US"/>
              </w:rPr>
              <w:t xml:space="preserve"> </w:t>
            </w:r>
            <w:proofErr w:type="spellStart"/>
            <w:r w:rsidRPr="00205FAF">
              <w:rPr>
                <w:b/>
                <w:lang w:val="en-US"/>
              </w:rPr>
              <w:t>подпомагане</w:t>
            </w:r>
            <w:proofErr w:type="spellEnd"/>
            <w:r w:rsidRPr="00205FAF">
              <w:rPr>
                <w:b/>
                <w:lang w:val="en-US"/>
              </w:rPr>
              <w:t xml:space="preserve"> </w:t>
            </w:r>
            <w:proofErr w:type="spellStart"/>
            <w:r w:rsidRPr="00205FAF">
              <w:rPr>
                <w:b/>
                <w:lang w:val="en-US"/>
              </w:rPr>
              <w:t>трябва</w:t>
            </w:r>
            <w:proofErr w:type="spellEnd"/>
            <w:r w:rsidRPr="00205FAF">
              <w:rPr>
                <w:b/>
                <w:lang w:val="en-US"/>
              </w:rPr>
              <w:t xml:space="preserve"> </w:t>
            </w:r>
            <w:proofErr w:type="spellStart"/>
            <w:r w:rsidRPr="00205FAF">
              <w:rPr>
                <w:b/>
                <w:lang w:val="en-US"/>
              </w:rPr>
              <w:t>да</w:t>
            </w:r>
            <w:proofErr w:type="spellEnd"/>
            <w:r w:rsidRPr="00205FAF">
              <w:rPr>
                <w:b/>
                <w:lang w:val="en-US"/>
              </w:rPr>
              <w:t xml:space="preserve"> </w:t>
            </w:r>
            <w:proofErr w:type="spellStart"/>
            <w:r w:rsidRPr="00205FAF">
              <w:rPr>
                <w:b/>
                <w:lang w:val="en-US"/>
              </w:rPr>
              <w:t>отговарят</w:t>
            </w:r>
            <w:proofErr w:type="spellEnd"/>
            <w:r w:rsidRPr="00205FAF">
              <w:rPr>
                <w:b/>
                <w:lang w:val="en-US"/>
              </w:rPr>
              <w:t xml:space="preserve"> </w:t>
            </w:r>
            <w:proofErr w:type="spellStart"/>
            <w:r w:rsidRPr="00205FAF">
              <w:rPr>
                <w:b/>
                <w:lang w:val="en-US"/>
              </w:rPr>
              <w:t>на</w:t>
            </w:r>
            <w:proofErr w:type="spellEnd"/>
            <w:r w:rsidRPr="00205FAF">
              <w:rPr>
                <w:b/>
                <w:lang w:val="en-US"/>
              </w:rPr>
              <w:t xml:space="preserve"> следните </w:t>
            </w:r>
            <w:proofErr w:type="spellStart"/>
            <w:r w:rsidRPr="00205FAF">
              <w:rPr>
                <w:b/>
                <w:lang w:val="en-US"/>
              </w:rPr>
              <w:t>условия</w:t>
            </w:r>
            <w:proofErr w:type="spellEnd"/>
            <w:r w:rsidRPr="00205FAF">
              <w:rPr>
                <w:b/>
                <w:lang w:val="en-US"/>
              </w:rPr>
              <w:t>:</w:t>
            </w:r>
          </w:p>
          <w:p w:rsidR="000251E5" w:rsidRPr="00F9076B" w:rsidRDefault="000251E5" w:rsidP="00F9076B">
            <w:pPr>
              <w:pStyle w:val="ListParagraph"/>
              <w:numPr>
                <w:ilvl w:val="0"/>
                <w:numId w:val="7"/>
              </w:numPr>
              <w:ind w:left="142" w:hanging="142"/>
              <w:jc w:val="both"/>
              <w:rPr>
                <w:lang w:val="bg-BG"/>
              </w:rPr>
            </w:pPr>
            <w:r w:rsidRPr="00F9076B">
              <w:rPr>
                <w:lang w:val="bg-BG"/>
              </w:rPr>
              <w:t xml:space="preserve">да са физически лица </w:t>
            </w:r>
            <w:r>
              <w:rPr>
                <w:lang w:val="bg-BG"/>
              </w:rPr>
              <w:t xml:space="preserve">регистрирани по Търговския закон </w:t>
            </w:r>
            <w:r w:rsidRPr="00F9076B">
              <w:rPr>
                <w:lang w:val="bg-BG"/>
              </w:rPr>
              <w:t>или;</w:t>
            </w:r>
          </w:p>
          <w:p w:rsidR="000251E5" w:rsidRPr="00F9076B" w:rsidRDefault="000251E5" w:rsidP="00F9076B">
            <w:pPr>
              <w:pStyle w:val="ListParagraph"/>
              <w:numPr>
                <w:ilvl w:val="0"/>
                <w:numId w:val="7"/>
              </w:numPr>
              <w:ind w:left="142" w:hanging="142"/>
              <w:jc w:val="both"/>
              <w:rPr>
                <w:lang w:val="bg-BG"/>
              </w:rPr>
            </w:pPr>
            <w:r w:rsidRPr="00F9076B">
              <w:rPr>
                <w:lang w:val="bg-BG"/>
              </w:rPr>
              <w:t>да са юридически лица, регистрирани по Търговския закон или Закона за кооперациите;</w:t>
            </w:r>
          </w:p>
          <w:p w:rsidR="00211F5A" w:rsidRPr="00211F5A" w:rsidRDefault="00211F5A" w:rsidP="00F9076B">
            <w:pPr>
              <w:pStyle w:val="ListParagraph"/>
              <w:numPr>
                <w:ilvl w:val="0"/>
                <w:numId w:val="7"/>
              </w:numPr>
              <w:ind w:left="142" w:hanging="142"/>
              <w:jc w:val="both"/>
              <w:rPr>
                <w:lang w:val="bg-BG"/>
              </w:rPr>
            </w:pPr>
            <w:r w:rsidRPr="00211F5A">
              <w:rPr>
                <w:lang w:val="bg-BG"/>
              </w:rPr>
              <w:t>да са регистрирани като земеделски стопани по Закона за подпомагане на земеделските производители от най – малко 36 месеца преди кандидатстването за подпомагане и да не са прекратявали св</w:t>
            </w:r>
            <w:bookmarkStart w:id="0" w:name="_GoBack"/>
            <w:bookmarkEnd w:id="0"/>
            <w:r w:rsidRPr="00211F5A">
              <w:rPr>
                <w:lang w:val="bg-BG"/>
              </w:rPr>
              <w:t>оята дейност;</w:t>
            </w:r>
          </w:p>
          <w:p w:rsidR="000251E5" w:rsidRDefault="000251E5" w:rsidP="00F9076B">
            <w:pPr>
              <w:pStyle w:val="ListParagraph"/>
              <w:numPr>
                <w:ilvl w:val="0"/>
                <w:numId w:val="7"/>
              </w:numPr>
              <w:ind w:left="142" w:hanging="142"/>
              <w:jc w:val="both"/>
              <w:rPr>
                <w:lang w:val="bg-BG"/>
              </w:rPr>
            </w:pPr>
            <w:r w:rsidRPr="00F9076B">
              <w:rPr>
                <w:lang w:val="bg-BG"/>
              </w:rPr>
              <w:t>да имат минимален стандартен производствен обем</w:t>
            </w:r>
            <w:r w:rsidR="00A72483">
              <w:rPr>
                <w:lang w:val="bg-BG"/>
              </w:rPr>
              <w:t xml:space="preserve"> </w:t>
            </w:r>
            <w:r w:rsidRPr="00F9076B">
              <w:rPr>
                <w:lang w:val="bg-BG"/>
              </w:rPr>
              <w:t xml:space="preserve">/СПО/ на земеделското стопанство не по - малко от </w:t>
            </w:r>
            <w:r w:rsidR="002006C1" w:rsidRPr="009E0AB2">
              <w:rPr>
                <w:lang w:val="bg-BG"/>
              </w:rPr>
              <w:t>20 001</w:t>
            </w:r>
            <w:r w:rsidRPr="00F9076B">
              <w:rPr>
                <w:lang w:val="bg-BG"/>
              </w:rPr>
              <w:t xml:space="preserve"> евро;</w:t>
            </w:r>
          </w:p>
          <w:p w:rsidR="000251E5" w:rsidRDefault="000251E5" w:rsidP="00F9076B">
            <w:pPr>
              <w:pStyle w:val="ListParagraph"/>
              <w:numPr>
                <w:ilvl w:val="0"/>
                <w:numId w:val="7"/>
              </w:numPr>
              <w:ind w:left="142" w:hanging="142"/>
              <w:jc w:val="both"/>
              <w:rPr>
                <w:lang w:val="bg-BG"/>
              </w:rPr>
            </w:pPr>
            <w:r w:rsidRPr="000251E5">
              <w:rPr>
                <w:lang w:val="bg-BG"/>
              </w:rPr>
              <w:t>да имат разработен бизнес план за дейностите по преработка на селскостопански продукти и доказващ подобряване на дейността на кандидата чрез прилагане на планираните инвестиции и дейности;</w:t>
            </w:r>
          </w:p>
          <w:p w:rsidR="000251E5" w:rsidRPr="000251E5" w:rsidRDefault="000251E5" w:rsidP="00F9076B">
            <w:pPr>
              <w:pStyle w:val="ListParagraph"/>
              <w:numPr>
                <w:ilvl w:val="0"/>
                <w:numId w:val="7"/>
              </w:numPr>
              <w:ind w:left="142" w:hanging="142"/>
              <w:jc w:val="both"/>
              <w:rPr>
                <w:lang w:val="bg-BG"/>
              </w:rPr>
            </w:pPr>
            <w:r>
              <w:rPr>
                <w:lang w:val="bg-BG"/>
              </w:rPr>
              <w:t>преобладаващата част от предвидените за преработка селскостопански продукти трябва да са произведени в земеделското стопанство на кандидата;</w:t>
            </w:r>
          </w:p>
          <w:p w:rsidR="000251E5" w:rsidRPr="000251E5" w:rsidRDefault="000251E5" w:rsidP="000251E5">
            <w:pPr>
              <w:jc w:val="both"/>
              <w:rPr>
                <w:lang w:val="en-US"/>
              </w:rPr>
            </w:pPr>
          </w:p>
          <w:p w:rsidR="003E341C" w:rsidRDefault="003E341C" w:rsidP="003E341C">
            <w:pPr>
              <w:jc w:val="both"/>
              <w:rPr>
                <w:b/>
                <w:lang w:val="bg-BG"/>
              </w:rPr>
            </w:pPr>
            <w:r w:rsidRPr="007370DA">
              <w:rPr>
                <w:b/>
                <w:lang w:val="bg-BG"/>
              </w:rPr>
              <w:t xml:space="preserve">Подпомагане ще се предоставя в рамките на следните производствени </w:t>
            </w:r>
            <w:r w:rsidR="007370DA" w:rsidRPr="007370DA">
              <w:rPr>
                <w:b/>
                <w:lang w:val="bg-BG"/>
              </w:rPr>
              <w:t xml:space="preserve">сектори свързани с преработката и/или </w:t>
            </w:r>
            <w:r w:rsidRPr="007370DA">
              <w:rPr>
                <w:b/>
                <w:lang w:val="bg-BG"/>
              </w:rPr>
              <w:t>маркетинг</w:t>
            </w:r>
            <w:r w:rsidR="00487049">
              <w:rPr>
                <w:b/>
                <w:lang w:val="bg-BG"/>
              </w:rPr>
              <w:t xml:space="preserve"> /</w:t>
            </w:r>
            <w:r w:rsidR="00487049" w:rsidRPr="00487049">
              <w:rPr>
                <w:b/>
                <w:i/>
                <w:lang w:val="bg-BG"/>
              </w:rPr>
              <w:t>предлагането на пазара</w:t>
            </w:r>
            <w:r w:rsidRPr="00487049">
              <w:rPr>
                <w:b/>
                <w:i/>
                <w:lang w:val="bg-BG"/>
              </w:rPr>
              <w:t xml:space="preserve"> на продукти</w:t>
            </w:r>
            <w:r w:rsidR="00487049">
              <w:rPr>
                <w:b/>
                <w:lang w:val="bg-BG"/>
              </w:rPr>
              <w:t>/</w:t>
            </w:r>
            <w:r w:rsidRPr="007370DA">
              <w:rPr>
                <w:b/>
                <w:lang w:val="bg-BG"/>
              </w:rPr>
              <w:t>, описани в Приложение І на Договора за функциониране на Европейския съюз и памук.</w:t>
            </w:r>
          </w:p>
          <w:p w:rsidR="007370DA" w:rsidRPr="007370DA" w:rsidRDefault="007370DA" w:rsidP="003E341C">
            <w:pPr>
              <w:jc w:val="both"/>
              <w:rPr>
                <w:b/>
                <w:lang w:val="bg-BG"/>
              </w:rPr>
            </w:pPr>
          </w:p>
          <w:p w:rsidR="003E341C" w:rsidRPr="007370DA" w:rsidRDefault="003E341C" w:rsidP="007370DA">
            <w:pPr>
              <w:pStyle w:val="ListParagraph"/>
              <w:numPr>
                <w:ilvl w:val="0"/>
                <w:numId w:val="10"/>
              </w:numPr>
              <w:spacing w:after="200" w:line="276" w:lineRule="auto"/>
              <w:ind w:left="284" w:hanging="284"/>
              <w:jc w:val="both"/>
              <w:rPr>
                <w:lang w:val="bg-BG"/>
              </w:rPr>
            </w:pPr>
            <w:r w:rsidRPr="007370DA">
              <w:rPr>
                <w:lang w:val="bg-BG"/>
              </w:rPr>
              <w:t>Мляко и млечни прод</w:t>
            </w:r>
            <w:r w:rsidR="007370DA">
              <w:rPr>
                <w:lang w:val="bg-BG"/>
              </w:rPr>
              <w:t>укти, включително яйца от птици;</w:t>
            </w:r>
          </w:p>
          <w:p w:rsidR="003E341C" w:rsidRPr="007370DA" w:rsidRDefault="007370DA" w:rsidP="007370DA">
            <w:pPr>
              <w:pStyle w:val="ListParagraph"/>
              <w:numPr>
                <w:ilvl w:val="0"/>
                <w:numId w:val="10"/>
              </w:numPr>
              <w:spacing w:after="200" w:line="276" w:lineRule="auto"/>
              <w:ind w:left="284" w:hanging="284"/>
              <w:jc w:val="both"/>
              <w:rPr>
                <w:lang w:val="bg-BG"/>
              </w:rPr>
            </w:pPr>
            <w:r>
              <w:rPr>
                <w:lang w:val="bg-BG"/>
              </w:rPr>
              <w:t>Месо и месни продукти;</w:t>
            </w:r>
          </w:p>
          <w:p w:rsidR="003E341C" w:rsidRPr="007370DA" w:rsidRDefault="003E341C" w:rsidP="007370DA">
            <w:pPr>
              <w:pStyle w:val="ListParagraph"/>
              <w:numPr>
                <w:ilvl w:val="0"/>
                <w:numId w:val="10"/>
              </w:numPr>
              <w:spacing w:after="200" w:line="276" w:lineRule="auto"/>
              <w:ind w:left="284" w:hanging="284"/>
              <w:jc w:val="both"/>
              <w:rPr>
                <w:lang w:val="bg-BG"/>
              </w:rPr>
            </w:pPr>
            <w:r w:rsidRPr="007370DA">
              <w:rPr>
                <w:lang w:val="bg-BG"/>
              </w:rPr>
              <w:t>Плодов</w:t>
            </w:r>
            <w:r w:rsidR="007370DA">
              <w:rPr>
                <w:lang w:val="bg-BG"/>
              </w:rPr>
              <w:t>е и зеленчуци, включително гъби;</w:t>
            </w:r>
          </w:p>
          <w:p w:rsidR="003E341C" w:rsidRPr="007370DA" w:rsidRDefault="007370DA" w:rsidP="007370DA">
            <w:pPr>
              <w:pStyle w:val="ListParagraph"/>
              <w:numPr>
                <w:ilvl w:val="0"/>
                <w:numId w:val="10"/>
              </w:numPr>
              <w:spacing w:after="200" w:line="276" w:lineRule="auto"/>
              <w:ind w:left="284" w:hanging="284"/>
              <w:jc w:val="both"/>
              <w:rPr>
                <w:lang w:val="bg-BG"/>
              </w:rPr>
            </w:pPr>
            <w:r>
              <w:rPr>
                <w:lang w:val="bg-BG"/>
              </w:rPr>
              <w:t>Пчелен мед;</w:t>
            </w:r>
          </w:p>
          <w:p w:rsidR="003E341C" w:rsidRPr="007370DA" w:rsidRDefault="003E341C" w:rsidP="007370DA">
            <w:pPr>
              <w:pStyle w:val="ListParagraph"/>
              <w:numPr>
                <w:ilvl w:val="0"/>
                <w:numId w:val="10"/>
              </w:numPr>
              <w:spacing w:after="200" w:line="276" w:lineRule="auto"/>
              <w:ind w:left="284" w:hanging="284"/>
              <w:jc w:val="both"/>
              <w:rPr>
                <w:lang w:val="bg-BG"/>
              </w:rPr>
            </w:pPr>
            <w:r w:rsidRPr="007370DA">
              <w:rPr>
                <w:lang w:val="bg-BG"/>
              </w:rPr>
              <w:t>Зърнени, ме</w:t>
            </w:r>
            <w:r w:rsidR="007370DA">
              <w:rPr>
                <w:lang w:val="bg-BG"/>
              </w:rPr>
              <w:t>лничарски  и нишестени продукти;</w:t>
            </w:r>
          </w:p>
          <w:p w:rsidR="003E341C" w:rsidRPr="007370DA" w:rsidRDefault="003E341C" w:rsidP="007370DA">
            <w:pPr>
              <w:pStyle w:val="ListParagraph"/>
              <w:numPr>
                <w:ilvl w:val="0"/>
                <w:numId w:val="10"/>
              </w:numPr>
              <w:spacing w:after="200" w:line="276" w:lineRule="auto"/>
              <w:ind w:left="284" w:hanging="284"/>
              <w:jc w:val="both"/>
              <w:rPr>
                <w:lang w:val="bg-BG"/>
              </w:rPr>
            </w:pPr>
            <w:r w:rsidRPr="007370DA">
              <w:rPr>
                <w:lang w:val="bg-BG"/>
              </w:rPr>
              <w:t>Растител</w:t>
            </w:r>
            <w:r w:rsidR="007370DA">
              <w:rPr>
                <w:lang w:val="bg-BG"/>
              </w:rPr>
              <w:t>ни и животински масла и мазнини;</w:t>
            </w:r>
          </w:p>
          <w:p w:rsidR="003E341C" w:rsidRPr="007370DA" w:rsidRDefault="003E341C" w:rsidP="007370DA">
            <w:pPr>
              <w:pStyle w:val="ListParagraph"/>
              <w:numPr>
                <w:ilvl w:val="0"/>
                <w:numId w:val="10"/>
              </w:numPr>
              <w:spacing w:after="200" w:line="276" w:lineRule="auto"/>
              <w:ind w:left="284" w:hanging="284"/>
              <w:jc w:val="both"/>
              <w:rPr>
                <w:lang w:val="bg-BG"/>
              </w:rPr>
            </w:pPr>
            <w:r w:rsidRPr="007370DA">
              <w:rPr>
                <w:lang w:val="bg-BG"/>
              </w:rPr>
              <w:t>Технически и медицински култури, вклю</w:t>
            </w:r>
            <w:r w:rsidR="007370DA">
              <w:rPr>
                <w:lang w:val="bg-BG"/>
              </w:rPr>
              <w:t>чително маслодайна роза и билки;</w:t>
            </w:r>
          </w:p>
          <w:p w:rsidR="003E341C" w:rsidRPr="007370DA" w:rsidRDefault="003E341C" w:rsidP="007370DA">
            <w:pPr>
              <w:pStyle w:val="ListParagraph"/>
              <w:numPr>
                <w:ilvl w:val="0"/>
                <w:numId w:val="10"/>
              </w:numPr>
              <w:spacing w:after="200" w:line="276" w:lineRule="auto"/>
              <w:ind w:left="284" w:hanging="284"/>
              <w:jc w:val="both"/>
              <w:rPr>
                <w:lang w:val="bg-BG"/>
              </w:rPr>
            </w:pPr>
            <w:r w:rsidRPr="007370DA">
              <w:rPr>
                <w:lang w:val="bg-BG"/>
              </w:rPr>
              <w:t>Готови х</w:t>
            </w:r>
            <w:r w:rsidR="007370DA">
              <w:rPr>
                <w:lang w:val="bg-BG"/>
              </w:rPr>
              <w:t>рани за селскостопански животни;</w:t>
            </w:r>
          </w:p>
          <w:p w:rsidR="003E341C" w:rsidRPr="007370DA" w:rsidRDefault="007370DA" w:rsidP="007370DA">
            <w:pPr>
              <w:pStyle w:val="ListParagraph"/>
              <w:numPr>
                <w:ilvl w:val="0"/>
                <w:numId w:val="10"/>
              </w:numPr>
              <w:spacing w:after="200" w:line="276" w:lineRule="auto"/>
              <w:ind w:left="284" w:hanging="284"/>
              <w:jc w:val="both"/>
              <w:rPr>
                <w:lang w:val="bg-BG"/>
              </w:rPr>
            </w:pPr>
            <w:r>
              <w:rPr>
                <w:lang w:val="bg-BG"/>
              </w:rPr>
              <w:t>Гроздова мъст, вино и оцет;</w:t>
            </w:r>
          </w:p>
          <w:p w:rsidR="007C5364" w:rsidRPr="0002440C" w:rsidRDefault="007C5364" w:rsidP="007C5364">
            <w:pPr>
              <w:jc w:val="both"/>
              <w:rPr>
                <w:b/>
                <w:lang w:val="bg-BG"/>
              </w:rPr>
            </w:pPr>
            <w:r w:rsidRPr="0002440C">
              <w:rPr>
                <w:b/>
                <w:lang w:val="bg-BG"/>
              </w:rPr>
              <w:t>В съответствие с чл. 68, §3 от Регламент ХХХХ/20ХХ не са допустимите за подпомагане инвестиции и категориите разходи, като включват:</w:t>
            </w:r>
          </w:p>
          <w:p w:rsidR="007C5364" w:rsidRPr="0002440C" w:rsidRDefault="007C5364" w:rsidP="007370DA">
            <w:pPr>
              <w:pStyle w:val="ListParagraph"/>
              <w:numPr>
                <w:ilvl w:val="0"/>
                <w:numId w:val="11"/>
              </w:numPr>
              <w:spacing w:after="200" w:line="276" w:lineRule="auto"/>
              <w:ind w:left="284" w:hanging="284"/>
              <w:jc w:val="both"/>
              <w:rPr>
                <w:lang w:val="bg-BG"/>
              </w:rPr>
            </w:pPr>
            <w:r w:rsidRPr="0002440C">
              <w:rPr>
                <w:lang w:val="bg-BG"/>
              </w:rPr>
              <w:t>закупуване на права за получаване на плащане;</w:t>
            </w:r>
          </w:p>
          <w:p w:rsidR="007C5364" w:rsidRPr="0002440C" w:rsidRDefault="007C5364" w:rsidP="007370DA">
            <w:pPr>
              <w:pStyle w:val="ListParagraph"/>
              <w:numPr>
                <w:ilvl w:val="0"/>
                <w:numId w:val="11"/>
              </w:numPr>
              <w:spacing w:after="200" w:line="276" w:lineRule="auto"/>
              <w:ind w:left="284" w:hanging="284"/>
              <w:jc w:val="both"/>
              <w:rPr>
                <w:lang w:val="bg-BG"/>
              </w:rPr>
            </w:pPr>
            <w:r w:rsidRPr="0002440C">
              <w:rPr>
                <w:lang w:val="bg-BG"/>
              </w:rPr>
              <w:t>закупуване на земя, с изключение на закупуване на земя за опазване на околната среда или закупена земя от млади земеделски стопани посредством използването на финансови инструменти;</w:t>
            </w:r>
          </w:p>
          <w:p w:rsidR="007C5364" w:rsidRPr="0002440C" w:rsidRDefault="007C5364" w:rsidP="007370DA">
            <w:pPr>
              <w:pStyle w:val="ListParagraph"/>
              <w:numPr>
                <w:ilvl w:val="0"/>
                <w:numId w:val="11"/>
              </w:numPr>
              <w:spacing w:after="200" w:line="276" w:lineRule="auto"/>
              <w:ind w:left="284" w:hanging="284"/>
              <w:jc w:val="both"/>
              <w:rPr>
                <w:lang w:val="bg-BG"/>
              </w:rPr>
            </w:pPr>
            <w:r w:rsidRPr="0002440C">
              <w:rPr>
                <w:lang w:val="bg-BG"/>
              </w:rPr>
              <w:t>закупуване на животни, едногодишни растения и тяхното засаждане, различно от закупуване с цел възстановяване на земеделския или горския потенциал след природни бедствия и катастрофични събития;</w:t>
            </w:r>
          </w:p>
          <w:p w:rsidR="007C5364" w:rsidRPr="0002440C" w:rsidRDefault="007C5364" w:rsidP="007370DA">
            <w:pPr>
              <w:pStyle w:val="ListParagraph"/>
              <w:numPr>
                <w:ilvl w:val="0"/>
                <w:numId w:val="11"/>
              </w:numPr>
              <w:spacing w:after="200" w:line="276" w:lineRule="auto"/>
              <w:ind w:left="284" w:hanging="284"/>
              <w:jc w:val="both"/>
              <w:rPr>
                <w:lang w:val="bg-BG"/>
              </w:rPr>
            </w:pPr>
            <w:r w:rsidRPr="0002440C">
              <w:rPr>
                <w:lang w:val="bg-BG"/>
              </w:rPr>
              <w:t>лихви по дългове, с изключение свързани с безвъзмездни средства, отпуснати под формата на лихвени субсидии или субсидии за гаранционни такси;</w:t>
            </w:r>
          </w:p>
          <w:p w:rsidR="007C5364" w:rsidRPr="0002440C" w:rsidRDefault="007C5364" w:rsidP="007370DA">
            <w:pPr>
              <w:pStyle w:val="ListParagraph"/>
              <w:numPr>
                <w:ilvl w:val="0"/>
                <w:numId w:val="11"/>
              </w:numPr>
              <w:spacing w:after="200" w:line="276" w:lineRule="auto"/>
              <w:ind w:left="284" w:hanging="284"/>
              <w:jc w:val="both"/>
              <w:rPr>
                <w:lang w:val="bg-BG"/>
              </w:rPr>
            </w:pPr>
            <w:r w:rsidRPr="0002440C">
              <w:rPr>
                <w:lang w:val="bg-BG"/>
              </w:rPr>
              <w:lastRenderedPageBreak/>
              <w:t>инвестиции в напоителни системи, които не са съвместими с постигането на добро състояние на водните обекти, както е определено в член 4, параграф 1 от Директива 2000/60/ЕО, включително разрастване на напоителните системи, което засяга водни басейни, чийто статус е определен като незадоволителен в съответния план за управление на речния басейн;</w:t>
            </w:r>
          </w:p>
          <w:p w:rsidR="0002440C" w:rsidRPr="0002440C" w:rsidRDefault="007C5364" w:rsidP="007370DA">
            <w:pPr>
              <w:pStyle w:val="ListParagraph"/>
              <w:numPr>
                <w:ilvl w:val="0"/>
                <w:numId w:val="11"/>
              </w:numPr>
              <w:spacing w:after="200" w:line="276" w:lineRule="auto"/>
              <w:ind w:left="284" w:hanging="284"/>
              <w:jc w:val="both"/>
              <w:rPr>
                <w:lang w:val="bg-BG"/>
              </w:rPr>
            </w:pPr>
            <w:r w:rsidRPr="0002440C">
              <w:rPr>
                <w:lang w:val="bg-BG"/>
              </w:rPr>
              <w:t>инвестиции в големи инфраструктури, които не са част от стратегиите за местно развитие;</w:t>
            </w:r>
          </w:p>
          <w:p w:rsidR="007C5364" w:rsidRPr="00763971" w:rsidRDefault="007C5364" w:rsidP="007370DA">
            <w:pPr>
              <w:pStyle w:val="ListParagraph"/>
              <w:numPr>
                <w:ilvl w:val="0"/>
                <w:numId w:val="11"/>
              </w:numPr>
              <w:spacing w:after="200" w:line="276" w:lineRule="auto"/>
              <w:ind w:left="284" w:hanging="284"/>
              <w:jc w:val="both"/>
              <w:rPr>
                <w:lang w:val="bg-BG"/>
              </w:rPr>
            </w:pPr>
            <w:r w:rsidRPr="0002440C">
              <w:rPr>
                <w:lang w:val="bg-BG"/>
              </w:rPr>
              <w:t>инвестиции в залесяване, които не са съвместими с целите, свързани с климата и околната среда, в съответствие с принципите за устойчиво управление на горите, разработени в общоевропейските насоки за залесяване и повторно залесяване.</w:t>
            </w:r>
          </w:p>
        </w:tc>
      </w:tr>
    </w:tbl>
    <w:p w:rsidR="005F556B" w:rsidRPr="0002440C" w:rsidRDefault="005F556B" w:rsidP="005F556B">
      <w:pPr>
        <w:spacing w:line="240" w:lineRule="auto"/>
        <w:jc w:val="both"/>
        <w:rPr>
          <w:b/>
        </w:rPr>
      </w:pPr>
    </w:p>
    <w:p w:rsidR="00B92EB3" w:rsidRPr="0002440C" w:rsidRDefault="00B92EB3" w:rsidP="0046113A">
      <w:pPr>
        <w:pStyle w:val="ListParagraph"/>
        <w:numPr>
          <w:ilvl w:val="0"/>
          <w:numId w:val="2"/>
        </w:numPr>
        <w:spacing w:line="240" w:lineRule="auto"/>
        <w:jc w:val="both"/>
        <w:rPr>
          <w:b/>
          <w:lang w:val="bg-BG"/>
        </w:rPr>
      </w:pPr>
      <w:r w:rsidRPr="0002440C">
        <w:rPr>
          <w:b/>
          <w:lang w:val="bg-BG"/>
        </w:rPr>
        <w:t>Съвместимост на интервенцията със споразумението на СТО за селското стопанство:</w:t>
      </w:r>
    </w:p>
    <w:p w:rsidR="00B92EB3" w:rsidRPr="0002440C" w:rsidRDefault="00B92EB3" w:rsidP="005F556B">
      <w:pPr>
        <w:spacing w:line="240" w:lineRule="auto"/>
        <w:jc w:val="both"/>
        <w:rPr>
          <w:i/>
          <w:lang w:val="bg-BG"/>
        </w:rPr>
      </w:pPr>
      <w:r w:rsidRPr="0002440C">
        <w:rPr>
          <w:i/>
          <w:lang w:val="bg-BG"/>
        </w:rPr>
        <w:t xml:space="preserve">/За всяка интервенция, която </w:t>
      </w:r>
      <w:r w:rsidRPr="0002440C">
        <w:rPr>
          <w:i/>
          <w:u w:val="single"/>
          <w:lang w:val="bg-BG"/>
        </w:rPr>
        <w:t>се</w:t>
      </w:r>
      <w:r w:rsidRPr="0002440C">
        <w:rPr>
          <w:i/>
          <w:lang w:val="bg-BG"/>
        </w:rPr>
        <w:t xml:space="preserve"> основава на видовете интервенции, изброени в приложение II към регламента за Стратегическите планове по ОСП, следва да се опише как тя спазва съответните разпоредби на приложение 2 към Споразумението на СТО за селското стопанство (както е посочено в член 10 и в приложение II към същия регламент). За всяка интервенция, която </w:t>
      </w:r>
      <w:r w:rsidRPr="0002440C">
        <w:rPr>
          <w:i/>
          <w:u w:val="single"/>
          <w:lang w:val="bg-BG"/>
        </w:rPr>
        <w:t>не се</w:t>
      </w:r>
      <w:r w:rsidRPr="0002440C">
        <w:rPr>
          <w:i/>
          <w:lang w:val="bg-BG"/>
        </w:rPr>
        <w:t xml:space="preserve"> основава на видовете интервенции, изброени в приложение II към настоящия регламент, как спазва съответните разпоредби на член 6.5 или приложение 2 към Споразумението на СТО за селското стопанство/</w:t>
      </w:r>
    </w:p>
    <w:tbl>
      <w:tblPr>
        <w:tblStyle w:val="TableGrid"/>
        <w:tblW w:w="0" w:type="auto"/>
        <w:tblLook w:val="04A0" w:firstRow="1" w:lastRow="0" w:firstColumn="1" w:lastColumn="0" w:noHBand="0" w:noVBand="1"/>
      </w:tblPr>
      <w:tblGrid>
        <w:gridCol w:w="9242"/>
      </w:tblGrid>
      <w:tr w:rsidR="0002440C" w:rsidRPr="0002440C" w:rsidTr="00B92EB3">
        <w:tc>
          <w:tcPr>
            <w:tcW w:w="9242" w:type="dxa"/>
          </w:tcPr>
          <w:p w:rsidR="00AA069F" w:rsidRPr="0002440C" w:rsidRDefault="0002440C" w:rsidP="006D2D77">
            <w:pPr>
              <w:jc w:val="both"/>
              <w:rPr>
                <w:lang w:val="bg-BG"/>
              </w:rPr>
            </w:pPr>
            <w:r w:rsidRPr="0002440C">
              <w:rPr>
                <w:lang w:val="bg-BG"/>
              </w:rPr>
              <w:t>Интервенцията е включена в приложение II на Регламент ХХХХ/202Х и е в съответствие с приложение 2 към Споразумението на СТО за селското стопанство  – Предстои да се разработи тази част.</w:t>
            </w:r>
          </w:p>
        </w:tc>
      </w:tr>
    </w:tbl>
    <w:p w:rsidR="00B92EB3" w:rsidRPr="00356052" w:rsidRDefault="00B92EB3" w:rsidP="005F556B">
      <w:pPr>
        <w:spacing w:line="240" w:lineRule="auto"/>
        <w:jc w:val="both"/>
        <w:rPr>
          <w:i/>
          <w:color w:val="FF0000"/>
          <w:lang w:val="bg-BG"/>
        </w:rPr>
      </w:pPr>
    </w:p>
    <w:p w:rsidR="005F556B" w:rsidRPr="00763971" w:rsidRDefault="005F556B" w:rsidP="0046113A">
      <w:pPr>
        <w:pStyle w:val="ListParagraph"/>
        <w:numPr>
          <w:ilvl w:val="0"/>
          <w:numId w:val="2"/>
        </w:numPr>
        <w:spacing w:line="240" w:lineRule="auto"/>
        <w:jc w:val="both"/>
        <w:rPr>
          <w:b/>
          <w:lang w:val="bg-BG"/>
        </w:rPr>
      </w:pPr>
      <w:r w:rsidRPr="00763971">
        <w:rPr>
          <w:b/>
          <w:lang w:val="bg-BG"/>
        </w:rPr>
        <w:t xml:space="preserve">Нива на подпомагане / премии / методи за изчисляване (включително диференциации за групи от територии, където е приложимо) и, когато е приложимо, кратко обяснение защо посочените са подходящи за постигане на целите, </w:t>
      </w:r>
      <w:r w:rsidR="00950149" w:rsidRPr="00763971">
        <w:rPr>
          <w:b/>
          <w:lang w:val="bg-BG"/>
        </w:rPr>
        <w:t>(</w:t>
      </w:r>
      <w:r w:rsidRPr="00763971">
        <w:rPr>
          <w:b/>
          <w:lang w:val="bg-BG"/>
        </w:rPr>
        <w:t>също и по отношение на базовите изисквания</w:t>
      </w:r>
      <w:r w:rsidR="00950149" w:rsidRPr="00763971">
        <w:rPr>
          <w:b/>
          <w:lang w:val="bg-BG"/>
        </w:rPr>
        <w:t>)</w:t>
      </w:r>
      <w:r w:rsidRPr="00763971">
        <w:rPr>
          <w:b/>
          <w:lang w:val="bg-BG"/>
        </w:rPr>
        <w:t>:</w:t>
      </w:r>
    </w:p>
    <w:p w:rsidR="00BC2D56" w:rsidRPr="00763971" w:rsidRDefault="00BC2D56" w:rsidP="00BC2D56">
      <w:pPr>
        <w:spacing w:after="0" w:line="240" w:lineRule="auto"/>
        <w:jc w:val="both"/>
        <w:rPr>
          <w:i/>
          <w:lang w:val="bg-BG"/>
        </w:rPr>
      </w:pPr>
      <w:r w:rsidRPr="00763971">
        <w:rPr>
          <w:i/>
          <w:lang w:val="bg-BG"/>
        </w:rPr>
        <w:t>/</w:t>
      </w:r>
      <w:r w:rsidRPr="00763971">
        <w:rPr>
          <w:b/>
          <w:i/>
          <w:lang w:val="bg-BG"/>
        </w:rPr>
        <w:t>информацията следва да включва:</w:t>
      </w:r>
      <w:r w:rsidRPr="00763971">
        <w:rPr>
          <w:i/>
          <w:lang w:val="bg-BG"/>
        </w:rPr>
        <w:t xml:space="preserve"> формата и степента на подкрепа; методът за изчисляване на единичните суми на подпомагане и неговото сертифициране в съответствие с член 76; различните единни или средни единични суми на помощта</w:t>
      </w:r>
      <w:r w:rsidR="00950149" w:rsidRPr="00763971">
        <w:rPr>
          <w:i/>
          <w:lang w:val="bg-BG"/>
        </w:rPr>
        <w:t xml:space="preserve"> в рамките на тази интервенция. /</w:t>
      </w:r>
    </w:p>
    <w:p w:rsidR="00BC2D56" w:rsidRPr="00356052" w:rsidRDefault="00BC2D56" w:rsidP="005F556B">
      <w:pPr>
        <w:spacing w:line="240" w:lineRule="auto"/>
        <w:jc w:val="both"/>
        <w:rPr>
          <w:b/>
          <w:color w:val="FF0000"/>
          <w:lang w:val="bg-BG"/>
        </w:rPr>
      </w:pPr>
    </w:p>
    <w:tbl>
      <w:tblPr>
        <w:tblStyle w:val="TableGrid"/>
        <w:tblW w:w="0" w:type="auto"/>
        <w:tblLook w:val="04A0" w:firstRow="1" w:lastRow="0" w:firstColumn="1" w:lastColumn="0" w:noHBand="0" w:noVBand="1"/>
      </w:tblPr>
      <w:tblGrid>
        <w:gridCol w:w="9242"/>
      </w:tblGrid>
      <w:tr w:rsidR="005F556B" w:rsidRPr="00356052" w:rsidTr="005F556B">
        <w:tc>
          <w:tcPr>
            <w:tcW w:w="9242" w:type="dxa"/>
          </w:tcPr>
          <w:p w:rsidR="0002440C" w:rsidRPr="00763971" w:rsidRDefault="0002440C" w:rsidP="0002440C">
            <w:pPr>
              <w:jc w:val="both"/>
              <w:rPr>
                <w:b/>
                <w:lang w:val="bg-BG"/>
              </w:rPr>
            </w:pPr>
            <w:r w:rsidRPr="00763971">
              <w:rPr>
                <w:b/>
                <w:lang w:val="bg-BG"/>
              </w:rPr>
              <w:t>Подпомагането се предоставя под формата на възстановяване на действително направени от бенефициера допустими разходи.</w:t>
            </w:r>
          </w:p>
          <w:p w:rsidR="0002440C" w:rsidRPr="00763971" w:rsidRDefault="0002440C" w:rsidP="0002440C">
            <w:pPr>
              <w:jc w:val="both"/>
              <w:rPr>
                <w:b/>
                <w:lang w:val="bg-BG"/>
              </w:rPr>
            </w:pPr>
          </w:p>
          <w:p w:rsidR="000251E5" w:rsidRPr="00F9076B" w:rsidRDefault="0002440C" w:rsidP="000C2AE7">
            <w:pPr>
              <w:pStyle w:val="ListParagraph"/>
              <w:numPr>
                <w:ilvl w:val="0"/>
                <w:numId w:val="7"/>
              </w:numPr>
              <w:ind w:left="142" w:hanging="142"/>
              <w:jc w:val="both"/>
              <w:rPr>
                <w:lang w:val="bg-BG"/>
              </w:rPr>
            </w:pPr>
            <w:r w:rsidRPr="007E0D90">
              <w:rPr>
                <w:lang w:val="bg-BG"/>
              </w:rPr>
              <w:t xml:space="preserve">Финансовата помощ е в размер </w:t>
            </w:r>
            <w:r w:rsidR="0052041C" w:rsidRPr="007E0D90">
              <w:rPr>
                <w:lang w:val="bg-BG"/>
              </w:rPr>
              <w:t>до</w:t>
            </w:r>
            <w:r w:rsidRPr="007E0D90">
              <w:rPr>
                <w:lang w:val="bg-BG"/>
              </w:rPr>
              <w:t xml:space="preserve"> </w:t>
            </w:r>
            <w:r w:rsidR="00250C55" w:rsidRPr="007E0D90">
              <w:rPr>
                <w:lang w:val="bg-BG"/>
              </w:rPr>
              <w:t xml:space="preserve">30 </w:t>
            </w:r>
            <w:r w:rsidRPr="007E0D90">
              <w:rPr>
                <w:lang w:val="bg-BG"/>
              </w:rPr>
              <w:t>% от общия размер на допустимите за финансово подпомагане разходи</w:t>
            </w:r>
            <w:r w:rsidR="00250C55" w:rsidRPr="007E0D90">
              <w:rPr>
                <w:lang w:val="bg-BG"/>
              </w:rPr>
              <w:t>;</w:t>
            </w:r>
          </w:p>
          <w:p w:rsidR="000C2AE7" w:rsidRPr="000251E5" w:rsidRDefault="000251E5" w:rsidP="00F9076B">
            <w:pPr>
              <w:pStyle w:val="ListParagraph"/>
              <w:numPr>
                <w:ilvl w:val="0"/>
                <w:numId w:val="7"/>
              </w:numPr>
              <w:ind w:left="142" w:hanging="142"/>
              <w:jc w:val="both"/>
              <w:rPr>
                <w:lang w:val="bg-BG"/>
              </w:rPr>
            </w:pPr>
            <w:r w:rsidRPr="0029257A">
              <w:rPr>
                <w:lang w:val="bg-BG"/>
              </w:rPr>
              <w:t xml:space="preserve">Финансовата помощ </w:t>
            </w:r>
            <w:r>
              <w:rPr>
                <w:lang w:val="bg-BG"/>
              </w:rPr>
              <w:t xml:space="preserve">може да се увеличи с </w:t>
            </w:r>
            <w:r w:rsidRPr="0029257A">
              <w:rPr>
                <w:lang w:val="bg-BG"/>
              </w:rPr>
              <w:t xml:space="preserve">до </w:t>
            </w:r>
            <w:r>
              <w:rPr>
                <w:lang w:val="bg-BG"/>
              </w:rPr>
              <w:t>1</w:t>
            </w:r>
            <w:r w:rsidRPr="0029257A">
              <w:rPr>
                <w:lang w:val="bg-BG"/>
              </w:rPr>
              <w:t xml:space="preserve">0 % </w:t>
            </w:r>
            <w:r>
              <w:rPr>
                <w:lang w:val="bg-BG"/>
              </w:rPr>
              <w:t>за проектни предложения</w:t>
            </w:r>
            <w:r w:rsidR="00835739">
              <w:rPr>
                <w:lang w:val="bg-BG"/>
              </w:rPr>
              <w:t>, които се изпълняват</w:t>
            </w:r>
            <w:r>
              <w:rPr>
                <w:lang w:val="bg-BG"/>
              </w:rPr>
              <w:t xml:space="preserve"> в чувствителни сектори</w:t>
            </w:r>
            <w:r w:rsidR="009E0AB2">
              <w:rPr>
                <w:lang w:val="en-US"/>
              </w:rPr>
              <w:t xml:space="preserve"> </w:t>
            </w:r>
            <w:r w:rsidR="009E0AB2">
              <w:rPr>
                <w:lang w:val="bg-BG"/>
              </w:rPr>
              <w:t>определени в анализа към СП</w:t>
            </w:r>
            <w:r w:rsidRPr="0029257A">
              <w:rPr>
                <w:lang w:val="bg-BG"/>
              </w:rPr>
              <w:t>;</w:t>
            </w:r>
          </w:p>
          <w:p w:rsidR="0002440C" w:rsidRPr="007E0D90" w:rsidRDefault="0002440C" w:rsidP="0002440C">
            <w:pPr>
              <w:pStyle w:val="ListParagraph"/>
              <w:numPr>
                <w:ilvl w:val="0"/>
                <w:numId w:val="7"/>
              </w:numPr>
              <w:ind w:left="142" w:hanging="142"/>
              <w:jc w:val="both"/>
              <w:rPr>
                <w:lang w:val="bg-BG"/>
              </w:rPr>
            </w:pPr>
            <w:r w:rsidRPr="007E0D90">
              <w:rPr>
                <w:lang w:val="bg-BG"/>
              </w:rPr>
              <w:t xml:space="preserve">Минималният размер на допустимите разходи за едно проектно предложение е </w:t>
            </w:r>
            <w:r w:rsidR="007031A3" w:rsidRPr="007E0D90">
              <w:rPr>
                <w:lang w:val="bg-BG"/>
              </w:rPr>
              <w:t>25 000</w:t>
            </w:r>
            <w:r w:rsidRPr="007E0D90">
              <w:rPr>
                <w:lang w:val="bg-BG"/>
              </w:rPr>
              <w:t xml:space="preserve"> евро.</w:t>
            </w:r>
          </w:p>
          <w:p w:rsidR="0002440C" w:rsidRPr="007E0D90" w:rsidRDefault="0002440C" w:rsidP="007031A3">
            <w:pPr>
              <w:pStyle w:val="ListParagraph"/>
              <w:numPr>
                <w:ilvl w:val="0"/>
                <w:numId w:val="7"/>
              </w:numPr>
              <w:ind w:left="142" w:hanging="142"/>
              <w:jc w:val="both"/>
              <w:rPr>
                <w:lang w:val="bg-BG"/>
              </w:rPr>
            </w:pPr>
            <w:r w:rsidRPr="007E0D90">
              <w:rPr>
                <w:lang w:val="bg-BG"/>
              </w:rPr>
              <w:t xml:space="preserve">Максималният размер на допустимите разходи за един кандидат за периода на прилагане на интервенцията е </w:t>
            </w:r>
            <w:r w:rsidR="00763971" w:rsidRPr="007E0D90">
              <w:rPr>
                <w:lang w:val="bg-BG"/>
              </w:rPr>
              <w:t>до</w:t>
            </w:r>
            <w:r w:rsidRPr="007E0D90">
              <w:rPr>
                <w:lang w:val="bg-BG"/>
              </w:rPr>
              <w:t xml:space="preserve"> </w:t>
            </w:r>
            <w:r w:rsidR="00250C55" w:rsidRPr="007E0D90">
              <w:rPr>
                <w:lang w:val="bg-BG"/>
              </w:rPr>
              <w:t>3</w:t>
            </w:r>
            <w:r w:rsidR="007031A3" w:rsidRPr="007E0D90">
              <w:rPr>
                <w:lang w:val="bg-BG"/>
              </w:rPr>
              <w:t> 000 000</w:t>
            </w:r>
            <w:r w:rsidRPr="007E0D90">
              <w:rPr>
                <w:lang w:val="bg-BG"/>
              </w:rPr>
              <w:t xml:space="preserve"> евро, а максималният размер на допустимите разходи за един проект е до </w:t>
            </w:r>
            <w:r w:rsidR="00250C55" w:rsidRPr="007E0D90">
              <w:rPr>
                <w:lang w:val="bg-BG"/>
              </w:rPr>
              <w:t>3</w:t>
            </w:r>
            <w:r w:rsidR="007031A3" w:rsidRPr="007E0D90">
              <w:rPr>
                <w:lang w:val="bg-BG"/>
              </w:rPr>
              <w:t> 000 000</w:t>
            </w:r>
            <w:r w:rsidRPr="007E0D90">
              <w:rPr>
                <w:lang w:val="bg-BG"/>
              </w:rPr>
              <w:t xml:space="preserve"> евро.</w:t>
            </w:r>
          </w:p>
          <w:p w:rsidR="007031A3" w:rsidRPr="007E0D90" w:rsidRDefault="007031A3" w:rsidP="007031A3">
            <w:pPr>
              <w:jc w:val="both"/>
              <w:rPr>
                <w:lang w:val="bg-BG"/>
              </w:rPr>
            </w:pPr>
          </w:p>
          <w:p w:rsidR="00250C55" w:rsidRPr="00FB7B76" w:rsidRDefault="00250C55" w:rsidP="007031A3">
            <w:pPr>
              <w:jc w:val="both"/>
              <w:rPr>
                <w:b/>
                <w:lang w:val="bg-BG"/>
              </w:rPr>
            </w:pPr>
            <w:r w:rsidRPr="007E0D90">
              <w:rPr>
                <w:b/>
                <w:lang w:val="bg-BG"/>
              </w:rPr>
              <w:t>Кандидатите допустими за подпомагане в рамките на интервенцията могат да получат до 20% от общия размер на допустимите за финансово подпомагане разход под формата на финансов инструмент.</w:t>
            </w:r>
          </w:p>
          <w:p w:rsidR="00250C55" w:rsidRDefault="00250C55" w:rsidP="007031A3">
            <w:pPr>
              <w:jc w:val="both"/>
              <w:rPr>
                <w:lang w:val="bg-BG"/>
              </w:rPr>
            </w:pPr>
          </w:p>
          <w:p w:rsidR="007031A3" w:rsidRPr="00763971" w:rsidRDefault="007031A3" w:rsidP="007031A3">
            <w:pPr>
              <w:jc w:val="both"/>
              <w:rPr>
                <w:b/>
                <w:lang w:val="bg-BG"/>
              </w:rPr>
            </w:pPr>
            <w:r w:rsidRPr="00763971">
              <w:rPr>
                <w:b/>
                <w:lang w:val="bg-BG"/>
              </w:rPr>
              <w:t>В рамките на интервенцията е допустимо предоставянето на авансова плащане, в размер до 50% от одобрените разходи.</w:t>
            </w:r>
          </w:p>
          <w:p w:rsidR="007031A3" w:rsidRDefault="007031A3" w:rsidP="007031A3">
            <w:pPr>
              <w:jc w:val="both"/>
              <w:rPr>
                <w:lang w:val="bg-BG"/>
              </w:rPr>
            </w:pPr>
          </w:p>
          <w:p w:rsidR="007031A3" w:rsidRPr="007031A3" w:rsidRDefault="007031A3" w:rsidP="007031A3">
            <w:pPr>
              <w:jc w:val="both"/>
              <w:rPr>
                <w:b/>
                <w:lang w:val="bg-BG"/>
              </w:rPr>
            </w:pPr>
            <w:r w:rsidRPr="007031A3">
              <w:rPr>
                <w:b/>
                <w:lang w:val="bg-BG"/>
              </w:rPr>
              <w:t>С цел приоритетно подпомагане чрез интервенцията за преработка на селскостопански продукти определени в анализа като приоритетни ще бъде разработен подход, които да позволи целево насочване на финансирането в рамките на определените финансови условия.</w:t>
            </w:r>
          </w:p>
        </w:tc>
      </w:tr>
    </w:tbl>
    <w:p w:rsidR="005F556B" w:rsidRPr="00356052" w:rsidRDefault="005F556B" w:rsidP="005F556B">
      <w:pPr>
        <w:spacing w:line="240" w:lineRule="auto"/>
        <w:jc w:val="both"/>
        <w:rPr>
          <w:b/>
          <w:color w:val="FF0000"/>
          <w:lang w:val="bg-BG"/>
        </w:rPr>
      </w:pPr>
    </w:p>
    <w:sectPr w:rsidR="005F556B" w:rsidRPr="00356052" w:rsidSect="00BE7E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3A" w:rsidRDefault="005C2B3A" w:rsidP="00C46DC8">
      <w:pPr>
        <w:spacing w:after="0" w:line="240" w:lineRule="auto"/>
      </w:pPr>
      <w:r>
        <w:separator/>
      </w:r>
    </w:p>
  </w:endnote>
  <w:endnote w:type="continuationSeparator" w:id="0">
    <w:p w:rsidR="005C2B3A" w:rsidRDefault="005C2B3A" w:rsidP="00C4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C8" w:rsidRDefault="00C46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C8" w:rsidRDefault="00C46D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C8" w:rsidRDefault="00C46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3A" w:rsidRDefault="005C2B3A" w:rsidP="00C46DC8">
      <w:pPr>
        <w:spacing w:after="0" w:line="240" w:lineRule="auto"/>
      </w:pPr>
      <w:r>
        <w:separator/>
      </w:r>
    </w:p>
  </w:footnote>
  <w:footnote w:type="continuationSeparator" w:id="0">
    <w:p w:rsidR="005C2B3A" w:rsidRDefault="005C2B3A" w:rsidP="00C46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C8" w:rsidRDefault="005C2B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6998" o:spid="_x0000_s2050" type="#_x0000_t136" style="position:absolute;margin-left:0;margin-top:0;width:424.2pt;height:212.1pt;rotation:315;z-index:-251655168;mso-position-horizontal:center;mso-position-horizontal-relative:margin;mso-position-vertical:center;mso-position-vertical-relative:margin" o:allowincell="f" fillcolor="#365f91 [2404]"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C8" w:rsidRDefault="005C2B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6999" o:spid="_x0000_s2051" type="#_x0000_t136" style="position:absolute;margin-left:0;margin-top:0;width:424.2pt;height:212.1pt;rotation:315;z-index:-251653120;mso-position-horizontal:center;mso-position-horizontal-relative:margin;mso-position-vertical:center;mso-position-vertical-relative:margin" o:allowincell="f" fillcolor="#365f91 [2404]" stroked="f">
          <v:fill opacity=".5"/>
          <v:textpath style="font-family:&quot;Calibri&quot;;font-size:1pt"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C8" w:rsidRDefault="005C2B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6997" o:spid="_x0000_s2049" type="#_x0000_t136" style="position:absolute;margin-left:0;margin-top:0;width:424.2pt;height:212.1pt;rotation:315;z-index:-251657216;mso-position-horizontal:center;mso-position-horizontal-relative:margin;mso-position-vertical:center;mso-position-vertical-relative:margin" o:allowincell="f" fillcolor="#365f91 [2404]"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68"/>
    <w:multiLevelType w:val="hybridMultilevel"/>
    <w:tmpl w:val="BAC0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C529A"/>
    <w:multiLevelType w:val="hybridMultilevel"/>
    <w:tmpl w:val="C5609E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371A70"/>
    <w:multiLevelType w:val="hybridMultilevel"/>
    <w:tmpl w:val="92868F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577CFA"/>
    <w:multiLevelType w:val="hybridMultilevel"/>
    <w:tmpl w:val="B05437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3747D93"/>
    <w:multiLevelType w:val="multilevel"/>
    <w:tmpl w:val="E27C4F3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4F590F"/>
    <w:multiLevelType w:val="hybridMultilevel"/>
    <w:tmpl w:val="C5609E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3A96A98"/>
    <w:multiLevelType w:val="hybridMultilevel"/>
    <w:tmpl w:val="0E8A43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FD30978"/>
    <w:multiLevelType w:val="hybridMultilevel"/>
    <w:tmpl w:val="C5609E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54F4293"/>
    <w:multiLevelType w:val="hybridMultilevel"/>
    <w:tmpl w:val="FAE6CE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7414733"/>
    <w:multiLevelType w:val="hybridMultilevel"/>
    <w:tmpl w:val="56821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87D1D22"/>
    <w:multiLevelType w:val="hybridMultilevel"/>
    <w:tmpl w:val="1362E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3"/>
  </w:num>
  <w:num w:numId="5">
    <w:abstractNumId w:val="4"/>
  </w:num>
  <w:num w:numId="6">
    <w:abstractNumId w:val="9"/>
  </w:num>
  <w:num w:numId="7">
    <w:abstractNumId w:val="6"/>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E6"/>
    <w:rsid w:val="000118B5"/>
    <w:rsid w:val="00021763"/>
    <w:rsid w:val="0002440C"/>
    <w:rsid w:val="000251E5"/>
    <w:rsid w:val="00027128"/>
    <w:rsid w:val="0006243E"/>
    <w:rsid w:val="00072CAF"/>
    <w:rsid w:val="00083B60"/>
    <w:rsid w:val="0009266A"/>
    <w:rsid w:val="000A2E65"/>
    <w:rsid w:val="000A4AC1"/>
    <w:rsid w:val="000C2AE7"/>
    <w:rsid w:val="000E0233"/>
    <w:rsid w:val="000F1A1A"/>
    <w:rsid w:val="0011493F"/>
    <w:rsid w:val="00130A1B"/>
    <w:rsid w:val="00166843"/>
    <w:rsid w:val="001759E6"/>
    <w:rsid w:val="001D2848"/>
    <w:rsid w:val="001D7CDE"/>
    <w:rsid w:val="001E1E82"/>
    <w:rsid w:val="002006C1"/>
    <w:rsid w:val="00205FAF"/>
    <w:rsid w:val="00211F5A"/>
    <w:rsid w:val="00216D60"/>
    <w:rsid w:val="00250C55"/>
    <w:rsid w:val="00252CFE"/>
    <w:rsid w:val="00294E71"/>
    <w:rsid w:val="00295805"/>
    <w:rsid w:val="002D2C19"/>
    <w:rsid w:val="002D313F"/>
    <w:rsid w:val="002E576B"/>
    <w:rsid w:val="00303658"/>
    <w:rsid w:val="00323875"/>
    <w:rsid w:val="00323C4C"/>
    <w:rsid w:val="00341EFA"/>
    <w:rsid w:val="00356052"/>
    <w:rsid w:val="00375557"/>
    <w:rsid w:val="00393C60"/>
    <w:rsid w:val="003A64ED"/>
    <w:rsid w:val="003A6CE6"/>
    <w:rsid w:val="003B2B39"/>
    <w:rsid w:val="003D51F8"/>
    <w:rsid w:val="003E341C"/>
    <w:rsid w:val="003F456C"/>
    <w:rsid w:val="00413957"/>
    <w:rsid w:val="00434588"/>
    <w:rsid w:val="00440223"/>
    <w:rsid w:val="0046113A"/>
    <w:rsid w:val="00465D61"/>
    <w:rsid w:val="004674CB"/>
    <w:rsid w:val="00487049"/>
    <w:rsid w:val="004A1C67"/>
    <w:rsid w:val="004B5C67"/>
    <w:rsid w:val="004D47EE"/>
    <w:rsid w:val="004D583C"/>
    <w:rsid w:val="004F32B8"/>
    <w:rsid w:val="0052041C"/>
    <w:rsid w:val="00551F8B"/>
    <w:rsid w:val="00567D49"/>
    <w:rsid w:val="00575626"/>
    <w:rsid w:val="005C2B3A"/>
    <w:rsid w:val="005E111D"/>
    <w:rsid w:val="005F556B"/>
    <w:rsid w:val="0060086E"/>
    <w:rsid w:val="006344DD"/>
    <w:rsid w:val="006571BB"/>
    <w:rsid w:val="006704CF"/>
    <w:rsid w:val="00676903"/>
    <w:rsid w:val="00681B6D"/>
    <w:rsid w:val="0069192B"/>
    <w:rsid w:val="00693CFD"/>
    <w:rsid w:val="006D2D77"/>
    <w:rsid w:val="006E005F"/>
    <w:rsid w:val="006E2C6A"/>
    <w:rsid w:val="006E54DC"/>
    <w:rsid w:val="006F5D0F"/>
    <w:rsid w:val="007031A3"/>
    <w:rsid w:val="007035C5"/>
    <w:rsid w:val="00715809"/>
    <w:rsid w:val="007370DA"/>
    <w:rsid w:val="007509FC"/>
    <w:rsid w:val="0076062E"/>
    <w:rsid w:val="00763971"/>
    <w:rsid w:val="00772B90"/>
    <w:rsid w:val="00776702"/>
    <w:rsid w:val="00792F27"/>
    <w:rsid w:val="007A4FB4"/>
    <w:rsid w:val="007A75A3"/>
    <w:rsid w:val="007B2E52"/>
    <w:rsid w:val="007C4558"/>
    <w:rsid w:val="007C5364"/>
    <w:rsid w:val="007E0D90"/>
    <w:rsid w:val="007F6563"/>
    <w:rsid w:val="00805DA4"/>
    <w:rsid w:val="00835739"/>
    <w:rsid w:val="0085440F"/>
    <w:rsid w:val="00861675"/>
    <w:rsid w:val="008636AB"/>
    <w:rsid w:val="00890974"/>
    <w:rsid w:val="00896C23"/>
    <w:rsid w:val="008A7C31"/>
    <w:rsid w:val="008F05DA"/>
    <w:rsid w:val="00907B02"/>
    <w:rsid w:val="0091452D"/>
    <w:rsid w:val="00927421"/>
    <w:rsid w:val="009331C1"/>
    <w:rsid w:val="00935872"/>
    <w:rsid w:val="00941407"/>
    <w:rsid w:val="00950149"/>
    <w:rsid w:val="00950EC5"/>
    <w:rsid w:val="00975A3A"/>
    <w:rsid w:val="00994D5D"/>
    <w:rsid w:val="009B2ED1"/>
    <w:rsid w:val="009D73ED"/>
    <w:rsid w:val="009E0AB2"/>
    <w:rsid w:val="009E4383"/>
    <w:rsid w:val="009E607C"/>
    <w:rsid w:val="00A20F14"/>
    <w:rsid w:val="00A50D1B"/>
    <w:rsid w:val="00A65563"/>
    <w:rsid w:val="00A72483"/>
    <w:rsid w:val="00A7344D"/>
    <w:rsid w:val="00A86001"/>
    <w:rsid w:val="00AA069F"/>
    <w:rsid w:val="00B005A1"/>
    <w:rsid w:val="00B04758"/>
    <w:rsid w:val="00B06C24"/>
    <w:rsid w:val="00B16744"/>
    <w:rsid w:val="00B47B25"/>
    <w:rsid w:val="00B92EB3"/>
    <w:rsid w:val="00BC2D56"/>
    <w:rsid w:val="00BD6438"/>
    <w:rsid w:val="00BE68D4"/>
    <w:rsid w:val="00BE7E72"/>
    <w:rsid w:val="00C25FE4"/>
    <w:rsid w:val="00C46DC8"/>
    <w:rsid w:val="00C9420B"/>
    <w:rsid w:val="00CA5A7B"/>
    <w:rsid w:val="00CC2A84"/>
    <w:rsid w:val="00CE04CA"/>
    <w:rsid w:val="00CE283B"/>
    <w:rsid w:val="00D07513"/>
    <w:rsid w:val="00D143B5"/>
    <w:rsid w:val="00D15C9E"/>
    <w:rsid w:val="00D202D8"/>
    <w:rsid w:val="00D219E2"/>
    <w:rsid w:val="00D539D2"/>
    <w:rsid w:val="00D747EA"/>
    <w:rsid w:val="00D92818"/>
    <w:rsid w:val="00DA7753"/>
    <w:rsid w:val="00DB1959"/>
    <w:rsid w:val="00DB42EB"/>
    <w:rsid w:val="00DC08EE"/>
    <w:rsid w:val="00DC59A4"/>
    <w:rsid w:val="00DC710F"/>
    <w:rsid w:val="00DC7BB8"/>
    <w:rsid w:val="00DD2EB7"/>
    <w:rsid w:val="00DE6D78"/>
    <w:rsid w:val="00DE7C10"/>
    <w:rsid w:val="00DE7C1B"/>
    <w:rsid w:val="00E03B52"/>
    <w:rsid w:val="00E1551E"/>
    <w:rsid w:val="00E15F3A"/>
    <w:rsid w:val="00E53C53"/>
    <w:rsid w:val="00E6343D"/>
    <w:rsid w:val="00E671E1"/>
    <w:rsid w:val="00E73362"/>
    <w:rsid w:val="00E76E03"/>
    <w:rsid w:val="00E869B8"/>
    <w:rsid w:val="00ED3437"/>
    <w:rsid w:val="00EF0963"/>
    <w:rsid w:val="00F12116"/>
    <w:rsid w:val="00F21D3A"/>
    <w:rsid w:val="00F22043"/>
    <w:rsid w:val="00F325B3"/>
    <w:rsid w:val="00F47FD8"/>
    <w:rsid w:val="00F7055B"/>
    <w:rsid w:val="00F75ABD"/>
    <w:rsid w:val="00F87784"/>
    <w:rsid w:val="00F87F08"/>
    <w:rsid w:val="00F9076B"/>
    <w:rsid w:val="00F967F2"/>
    <w:rsid w:val="00FA3722"/>
    <w:rsid w:val="00FB4799"/>
    <w:rsid w:val="00FB5831"/>
    <w:rsid w:val="00FB5FC5"/>
    <w:rsid w:val="00FB6767"/>
    <w:rsid w:val="00FB7B76"/>
    <w:rsid w:val="00FF2C0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BC2D56"/>
    <w:pPr>
      <w:ind w:left="720"/>
      <w:contextualSpacing/>
    </w:pPr>
  </w:style>
  <w:style w:type="character" w:styleId="CommentReference">
    <w:name w:val="annotation reference"/>
    <w:basedOn w:val="DefaultParagraphFont"/>
    <w:uiPriority w:val="99"/>
    <w:semiHidden/>
    <w:unhideWhenUsed/>
    <w:rsid w:val="00027128"/>
    <w:rPr>
      <w:sz w:val="16"/>
      <w:szCs w:val="16"/>
    </w:rPr>
  </w:style>
  <w:style w:type="paragraph" w:styleId="CommentText">
    <w:name w:val="annotation text"/>
    <w:basedOn w:val="Normal"/>
    <w:link w:val="CommentTextChar"/>
    <w:uiPriority w:val="99"/>
    <w:semiHidden/>
    <w:unhideWhenUsed/>
    <w:rsid w:val="00027128"/>
    <w:pPr>
      <w:spacing w:line="240" w:lineRule="auto"/>
    </w:pPr>
    <w:rPr>
      <w:sz w:val="20"/>
      <w:szCs w:val="20"/>
    </w:rPr>
  </w:style>
  <w:style w:type="character" w:customStyle="1" w:styleId="CommentTextChar">
    <w:name w:val="Comment Text Char"/>
    <w:basedOn w:val="DefaultParagraphFont"/>
    <w:link w:val="CommentText"/>
    <w:uiPriority w:val="99"/>
    <w:semiHidden/>
    <w:rsid w:val="00027128"/>
    <w:rPr>
      <w:sz w:val="20"/>
      <w:szCs w:val="20"/>
    </w:rPr>
  </w:style>
  <w:style w:type="paragraph" w:styleId="CommentSubject">
    <w:name w:val="annotation subject"/>
    <w:basedOn w:val="CommentText"/>
    <w:next w:val="CommentText"/>
    <w:link w:val="CommentSubjectChar"/>
    <w:uiPriority w:val="99"/>
    <w:semiHidden/>
    <w:unhideWhenUsed/>
    <w:rsid w:val="00027128"/>
    <w:rPr>
      <w:b/>
      <w:bCs/>
    </w:rPr>
  </w:style>
  <w:style w:type="character" w:customStyle="1" w:styleId="CommentSubjectChar">
    <w:name w:val="Comment Subject Char"/>
    <w:basedOn w:val="CommentTextChar"/>
    <w:link w:val="CommentSubject"/>
    <w:uiPriority w:val="99"/>
    <w:semiHidden/>
    <w:rsid w:val="00027128"/>
    <w:rPr>
      <w:b/>
      <w:bCs/>
      <w:sz w:val="20"/>
      <w:szCs w:val="20"/>
    </w:rPr>
  </w:style>
  <w:style w:type="paragraph" w:styleId="BalloonText">
    <w:name w:val="Balloon Text"/>
    <w:basedOn w:val="Normal"/>
    <w:link w:val="BalloonTextChar"/>
    <w:uiPriority w:val="99"/>
    <w:semiHidden/>
    <w:unhideWhenUsed/>
    <w:rsid w:val="0002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28"/>
    <w:rPr>
      <w:rFonts w:ascii="Tahoma" w:hAnsi="Tahoma" w:cs="Tahoma"/>
      <w:sz w:val="16"/>
      <w:szCs w:val="16"/>
    </w:rPr>
  </w:style>
  <w:style w:type="character" w:customStyle="1" w:styleId="tlid-translation">
    <w:name w:val="tlid-translation"/>
    <w:basedOn w:val="DefaultParagraphFont"/>
    <w:rsid w:val="003B2B39"/>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9B2ED1"/>
  </w:style>
  <w:style w:type="paragraph" w:styleId="Header">
    <w:name w:val="header"/>
    <w:basedOn w:val="Normal"/>
    <w:link w:val="HeaderChar"/>
    <w:uiPriority w:val="99"/>
    <w:unhideWhenUsed/>
    <w:rsid w:val="00C46D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DC8"/>
  </w:style>
  <w:style w:type="paragraph" w:styleId="Footer">
    <w:name w:val="footer"/>
    <w:basedOn w:val="Normal"/>
    <w:link w:val="FooterChar"/>
    <w:uiPriority w:val="99"/>
    <w:unhideWhenUsed/>
    <w:rsid w:val="00C46D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DC8"/>
  </w:style>
  <w:style w:type="paragraph" w:styleId="HTMLPreformatted">
    <w:name w:val="HTML Preformatted"/>
    <w:basedOn w:val="Normal"/>
    <w:link w:val="HTMLPreformattedChar"/>
    <w:uiPriority w:val="99"/>
    <w:rsid w:val="0076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bg-BG"/>
    </w:rPr>
  </w:style>
  <w:style w:type="character" w:customStyle="1" w:styleId="HTMLPreformattedChar">
    <w:name w:val="HTML Preformatted Char"/>
    <w:basedOn w:val="DefaultParagraphFont"/>
    <w:link w:val="HTMLPreformatted"/>
    <w:uiPriority w:val="99"/>
    <w:rsid w:val="0076062E"/>
    <w:rPr>
      <w:rFonts w:ascii="Courier New" w:eastAsia="Times New Roman" w:hAnsi="Courier New" w:cs="Times New Roman"/>
      <w:sz w:val="20"/>
      <w:szCs w:val="20"/>
      <w:lang w:val="x-none"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BC2D56"/>
    <w:pPr>
      <w:ind w:left="720"/>
      <w:contextualSpacing/>
    </w:pPr>
  </w:style>
  <w:style w:type="character" w:styleId="CommentReference">
    <w:name w:val="annotation reference"/>
    <w:basedOn w:val="DefaultParagraphFont"/>
    <w:uiPriority w:val="99"/>
    <w:semiHidden/>
    <w:unhideWhenUsed/>
    <w:rsid w:val="00027128"/>
    <w:rPr>
      <w:sz w:val="16"/>
      <w:szCs w:val="16"/>
    </w:rPr>
  </w:style>
  <w:style w:type="paragraph" w:styleId="CommentText">
    <w:name w:val="annotation text"/>
    <w:basedOn w:val="Normal"/>
    <w:link w:val="CommentTextChar"/>
    <w:uiPriority w:val="99"/>
    <w:semiHidden/>
    <w:unhideWhenUsed/>
    <w:rsid w:val="00027128"/>
    <w:pPr>
      <w:spacing w:line="240" w:lineRule="auto"/>
    </w:pPr>
    <w:rPr>
      <w:sz w:val="20"/>
      <w:szCs w:val="20"/>
    </w:rPr>
  </w:style>
  <w:style w:type="character" w:customStyle="1" w:styleId="CommentTextChar">
    <w:name w:val="Comment Text Char"/>
    <w:basedOn w:val="DefaultParagraphFont"/>
    <w:link w:val="CommentText"/>
    <w:uiPriority w:val="99"/>
    <w:semiHidden/>
    <w:rsid w:val="00027128"/>
    <w:rPr>
      <w:sz w:val="20"/>
      <w:szCs w:val="20"/>
    </w:rPr>
  </w:style>
  <w:style w:type="paragraph" w:styleId="CommentSubject">
    <w:name w:val="annotation subject"/>
    <w:basedOn w:val="CommentText"/>
    <w:next w:val="CommentText"/>
    <w:link w:val="CommentSubjectChar"/>
    <w:uiPriority w:val="99"/>
    <w:semiHidden/>
    <w:unhideWhenUsed/>
    <w:rsid w:val="00027128"/>
    <w:rPr>
      <w:b/>
      <w:bCs/>
    </w:rPr>
  </w:style>
  <w:style w:type="character" w:customStyle="1" w:styleId="CommentSubjectChar">
    <w:name w:val="Comment Subject Char"/>
    <w:basedOn w:val="CommentTextChar"/>
    <w:link w:val="CommentSubject"/>
    <w:uiPriority w:val="99"/>
    <w:semiHidden/>
    <w:rsid w:val="00027128"/>
    <w:rPr>
      <w:b/>
      <w:bCs/>
      <w:sz w:val="20"/>
      <w:szCs w:val="20"/>
    </w:rPr>
  </w:style>
  <w:style w:type="paragraph" w:styleId="BalloonText">
    <w:name w:val="Balloon Text"/>
    <w:basedOn w:val="Normal"/>
    <w:link w:val="BalloonTextChar"/>
    <w:uiPriority w:val="99"/>
    <w:semiHidden/>
    <w:unhideWhenUsed/>
    <w:rsid w:val="0002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28"/>
    <w:rPr>
      <w:rFonts w:ascii="Tahoma" w:hAnsi="Tahoma" w:cs="Tahoma"/>
      <w:sz w:val="16"/>
      <w:szCs w:val="16"/>
    </w:rPr>
  </w:style>
  <w:style w:type="character" w:customStyle="1" w:styleId="tlid-translation">
    <w:name w:val="tlid-translation"/>
    <w:basedOn w:val="DefaultParagraphFont"/>
    <w:rsid w:val="003B2B39"/>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9B2ED1"/>
  </w:style>
  <w:style w:type="paragraph" w:styleId="Header">
    <w:name w:val="header"/>
    <w:basedOn w:val="Normal"/>
    <w:link w:val="HeaderChar"/>
    <w:uiPriority w:val="99"/>
    <w:unhideWhenUsed/>
    <w:rsid w:val="00C46D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DC8"/>
  </w:style>
  <w:style w:type="paragraph" w:styleId="Footer">
    <w:name w:val="footer"/>
    <w:basedOn w:val="Normal"/>
    <w:link w:val="FooterChar"/>
    <w:uiPriority w:val="99"/>
    <w:unhideWhenUsed/>
    <w:rsid w:val="00C46D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DC8"/>
  </w:style>
  <w:style w:type="paragraph" w:styleId="HTMLPreformatted">
    <w:name w:val="HTML Preformatted"/>
    <w:basedOn w:val="Normal"/>
    <w:link w:val="HTMLPreformattedChar"/>
    <w:uiPriority w:val="99"/>
    <w:rsid w:val="0076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bg-BG"/>
    </w:rPr>
  </w:style>
  <w:style w:type="character" w:customStyle="1" w:styleId="HTMLPreformattedChar">
    <w:name w:val="HTML Preformatted Char"/>
    <w:basedOn w:val="DefaultParagraphFont"/>
    <w:link w:val="HTMLPreformatted"/>
    <w:uiPriority w:val="99"/>
    <w:rsid w:val="0076062E"/>
    <w:rPr>
      <w:rFonts w:ascii="Courier New" w:eastAsia="Times New Roman" w:hAnsi="Courier New" w:cs="Times New Roman"/>
      <w:sz w:val="20"/>
      <w:szCs w:val="20"/>
      <w:lang w:val="x-none"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82704">
      <w:bodyDiv w:val="1"/>
      <w:marLeft w:val="0"/>
      <w:marRight w:val="0"/>
      <w:marTop w:val="0"/>
      <w:marBottom w:val="0"/>
      <w:divBdr>
        <w:top w:val="none" w:sz="0" w:space="0" w:color="auto"/>
        <w:left w:val="none" w:sz="0" w:space="0" w:color="auto"/>
        <w:bottom w:val="none" w:sz="0" w:space="0" w:color="auto"/>
        <w:right w:val="none" w:sz="0" w:space="0" w:color="auto"/>
      </w:divBdr>
      <w:divsChild>
        <w:div w:id="444034352">
          <w:marLeft w:val="0"/>
          <w:marRight w:val="0"/>
          <w:marTop w:val="0"/>
          <w:marBottom w:val="0"/>
          <w:divBdr>
            <w:top w:val="none" w:sz="0" w:space="0" w:color="auto"/>
            <w:left w:val="none" w:sz="0" w:space="0" w:color="auto"/>
            <w:bottom w:val="none" w:sz="0" w:space="0" w:color="auto"/>
            <w:right w:val="none" w:sz="0" w:space="0" w:color="auto"/>
          </w:divBdr>
          <w:divsChild>
            <w:div w:id="539055891">
              <w:marLeft w:val="0"/>
              <w:marRight w:val="0"/>
              <w:marTop w:val="0"/>
              <w:marBottom w:val="0"/>
              <w:divBdr>
                <w:top w:val="none" w:sz="0" w:space="0" w:color="auto"/>
                <w:left w:val="none" w:sz="0" w:space="0" w:color="auto"/>
                <w:bottom w:val="none" w:sz="0" w:space="0" w:color="auto"/>
                <w:right w:val="none" w:sz="0" w:space="0" w:color="auto"/>
              </w:divBdr>
              <w:divsChild>
                <w:div w:id="1809782529">
                  <w:marLeft w:val="0"/>
                  <w:marRight w:val="0"/>
                  <w:marTop w:val="0"/>
                  <w:marBottom w:val="0"/>
                  <w:divBdr>
                    <w:top w:val="none" w:sz="0" w:space="0" w:color="auto"/>
                    <w:left w:val="none" w:sz="0" w:space="0" w:color="auto"/>
                    <w:bottom w:val="none" w:sz="0" w:space="0" w:color="auto"/>
                    <w:right w:val="none" w:sz="0" w:space="0" w:color="auto"/>
                  </w:divBdr>
                  <w:divsChild>
                    <w:div w:id="1506355763">
                      <w:marLeft w:val="0"/>
                      <w:marRight w:val="0"/>
                      <w:marTop w:val="0"/>
                      <w:marBottom w:val="0"/>
                      <w:divBdr>
                        <w:top w:val="none" w:sz="0" w:space="0" w:color="auto"/>
                        <w:left w:val="none" w:sz="0" w:space="0" w:color="auto"/>
                        <w:bottom w:val="none" w:sz="0" w:space="0" w:color="auto"/>
                        <w:right w:val="none" w:sz="0" w:space="0" w:color="auto"/>
                      </w:divBdr>
                      <w:divsChild>
                        <w:div w:id="360135970">
                          <w:marLeft w:val="0"/>
                          <w:marRight w:val="0"/>
                          <w:marTop w:val="0"/>
                          <w:marBottom w:val="0"/>
                          <w:divBdr>
                            <w:top w:val="none" w:sz="0" w:space="0" w:color="auto"/>
                            <w:left w:val="none" w:sz="0" w:space="0" w:color="auto"/>
                            <w:bottom w:val="none" w:sz="0" w:space="0" w:color="auto"/>
                            <w:right w:val="none" w:sz="0" w:space="0" w:color="auto"/>
                          </w:divBdr>
                          <w:divsChild>
                            <w:div w:id="875969838">
                              <w:marLeft w:val="0"/>
                              <w:marRight w:val="300"/>
                              <w:marTop w:val="180"/>
                              <w:marBottom w:val="0"/>
                              <w:divBdr>
                                <w:top w:val="none" w:sz="0" w:space="0" w:color="auto"/>
                                <w:left w:val="none" w:sz="0" w:space="0" w:color="auto"/>
                                <w:bottom w:val="none" w:sz="0" w:space="0" w:color="auto"/>
                                <w:right w:val="none" w:sz="0" w:space="0" w:color="auto"/>
                              </w:divBdr>
                              <w:divsChild>
                                <w:div w:id="101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873621">
          <w:marLeft w:val="0"/>
          <w:marRight w:val="0"/>
          <w:marTop w:val="0"/>
          <w:marBottom w:val="0"/>
          <w:divBdr>
            <w:top w:val="none" w:sz="0" w:space="0" w:color="auto"/>
            <w:left w:val="none" w:sz="0" w:space="0" w:color="auto"/>
            <w:bottom w:val="none" w:sz="0" w:space="0" w:color="auto"/>
            <w:right w:val="none" w:sz="0" w:space="0" w:color="auto"/>
          </w:divBdr>
          <w:divsChild>
            <w:div w:id="710419743">
              <w:marLeft w:val="0"/>
              <w:marRight w:val="0"/>
              <w:marTop w:val="0"/>
              <w:marBottom w:val="0"/>
              <w:divBdr>
                <w:top w:val="none" w:sz="0" w:space="0" w:color="auto"/>
                <w:left w:val="none" w:sz="0" w:space="0" w:color="auto"/>
                <w:bottom w:val="none" w:sz="0" w:space="0" w:color="auto"/>
                <w:right w:val="none" w:sz="0" w:space="0" w:color="auto"/>
              </w:divBdr>
              <w:divsChild>
                <w:div w:id="397829298">
                  <w:marLeft w:val="0"/>
                  <w:marRight w:val="0"/>
                  <w:marTop w:val="0"/>
                  <w:marBottom w:val="0"/>
                  <w:divBdr>
                    <w:top w:val="none" w:sz="0" w:space="0" w:color="auto"/>
                    <w:left w:val="none" w:sz="0" w:space="0" w:color="auto"/>
                    <w:bottom w:val="none" w:sz="0" w:space="0" w:color="auto"/>
                    <w:right w:val="none" w:sz="0" w:space="0" w:color="auto"/>
                  </w:divBdr>
                  <w:divsChild>
                    <w:div w:id="1444417895">
                      <w:marLeft w:val="0"/>
                      <w:marRight w:val="0"/>
                      <w:marTop w:val="0"/>
                      <w:marBottom w:val="0"/>
                      <w:divBdr>
                        <w:top w:val="none" w:sz="0" w:space="0" w:color="auto"/>
                        <w:left w:val="none" w:sz="0" w:space="0" w:color="auto"/>
                        <w:bottom w:val="none" w:sz="0" w:space="0" w:color="auto"/>
                        <w:right w:val="none" w:sz="0" w:space="0" w:color="auto"/>
                      </w:divBdr>
                      <w:divsChild>
                        <w:div w:id="19368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55009">
      <w:bodyDiv w:val="1"/>
      <w:marLeft w:val="0"/>
      <w:marRight w:val="0"/>
      <w:marTop w:val="0"/>
      <w:marBottom w:val="0"/>
      <w:divBdr>
        <w:top w:val="none" w:sz="0" w:space="0" w:color="auto"/>
        <w:left w:val="none" w:sz="0" w:space="0" w:color="auto"/>
        <w:bottom w:val="none" w:sz="0" w:space="0" w:color="auto"/>
        <w:right w:val="none" w:sz="0" w:space="0" w:color="auto"/>
      </w:divBdr>
    </w:div>
    <w:div w:id="1648587331">
      <w:bodyDiv w:val="1"/>
      <w:marLeft w:val="0"/>
      <w:marRight w:val="0"/>
      <w:marTop w:val="0"/>
      <w:marBottom w:val="0"/>
      <w:divBdr>
        <w:top w:val="none" w:sz="0" w:space="0" w:color="auto"/>
        <w:left w:val="none" w:sz="0" w:space="0" w:color="auto"/>
        <w:bottom w:val="none" w:sz="0" w:space="0" w:color="auto"/>
        <w:right w:val="none" w:sz="0" w:space="0" w:color="auto"/>
      </w:divBdr>
      <w:divsChild>
        <w:div w:id="1267687512">
          <w:marLeft w:val="0"/>
          <w:marRight w:val="0"/>
          <w:marTop w:val="0"/>
          <w:marBottom w:val="0"/>
          <w:divBdr>
            <w:top w:val="none" w:sz="0" w:space="0" w:color="auto"/>
            <w:left w:val="none" w:sz="0" w:space="0" w:color="auto"/>
            <w:bottom w:val="none" w:sz="0" w:space="0" w:color="auto"/>
            <w:right w:val="none" w:sz="0" w:space="0" w:color="auto"/>
          </w:divBdr>
          <w:divsChild>
            <w:div w:id="1645306979">
              <w:marLeft w:val="0"/>
              <w:marRight w:val="0"/>
              <w:marTop w:val="0"/>
              <w:marBottom w:val="0"/>
              <w:divBdr>
                <w:top w:val="none" w:sz="0" w:space="0" w:color="auto"/>
                <w:left w:val="none" w:sz="0" w:space="0" w:color="auto"/>
                <w:bottom w:val="none" w:sz="0" w:space="0" w:color="auto"/>
                <w:right w:val="none" w:sz="0" w:space="0" w:color="auto"/>
              </w:divBdr>
              <w:divsChild>
                <w:div w:id="1645502280">
                  <w:marLeft w:val="0"/>
                  <w:marRight w:val="0"/>
                  <w:marTop w:val="0"/>
                  <w:marBottom w:val="0"/>
                  <w:divBdr>
                    <w:top w:val="none" w:sz="0" w:space="0" w:color="auto"/>
                    <w:left w:val="none" w:sz="0" w:space="0" w:color="auto"/>
                    <w:bottom w:val="none" w:sz="0" w:space="0" w:color="auto"/>
                    <w:right w:val="none" w:sz="0" w:space="0" w:color="auto"/>
                  </w:divBdr>
                  <w:divsChild>
                    <w:div w:id="461926313">
                      <w:marLeft w:val="0"/>
                      <w:marRight w:val="0"/>
                      <w:marTop w:val="0"/>
                      <w:marBottom w:val="0"/>
                      <w:divBdr>
                        <w:top w:val="none" w:sz="0" w:space="0" w:color="auto"/>
                        <w:left w:val="none" w:sz="0" w:space="0" w:color="auto"/>
                        <w:bottom w:val="none" w:sz="0" w:space="0" w:color="auto"/>
                        <w:right w:val="none" w:sz="0" w:space="0" w:color="auto"/>
                      </w:divBdr>
                      <w:divsChild>
                        <w:div w:id="560092994">
                          <w:marLeft w:val="0"/>
                          <w:marRight w:val="0"/>
                          <w:marTop w:val="0"/>
                          <w:marBottom w:val="0"/>
                          <w:divBdr>
                            <w:top w:val="none" w:sz="0" w:space="0" w:color="auto"/>
                            <w:left w:val="none" w:sz="0" w:space="0" w:color="auto"/>
                            <w:bottom w:val="none" w:sz="0" w:space="0" w:color="auto"/>
                            <w:right w:val="none" w:sz="0" w:space="0" w:color="auto"/>
                          </w:divBdr>
                          <w:divsChild>
                            <w:div w:id="1639068196">
                              <w:marLeft w:val="0"/>
                              <w:marRight w:val="300"/>
                              <w:marTop w:val="180"/>
                              <w:marBottom w:val="0"/>
                              <w:divBdr>
                                <w:top w:val="none" w:sz="0" w:space="0" w:color="auto"/>
                                <w:left w:val="none" w:sz="0" w:space="0" w:color="auto"/>
                                <w:bottom w:val="none" w:sz="0" w:space="0" w:color="auto"/>
                                <w:right w:val="none" w:sz="0" w:space="0" w:color="auto"/>
                              </w:divBdr>
                              <w:divsChild>
                                <w:div w:id="4868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762417">
          <w:marLeft w:val="0"/>
          <w:marRight w:val="0"/>
          <w:marTop w:val="0"/>
          <w:marBottom w:val="0"/>
          <w:divBdr>
            <w:top w:val="none" w:sz="0" w:space="0" w:color="auto"/>
            <w:left w:val="none" w:sz="0" w:space="0" w:color="auto"/>
            <w:bottom w:val="none" w:sz="0" w:space="0" w:color="auto"/>
            <w:right w:val="none" w:sz="0" w:space="0" w:color="auto"/>
          </w:divBdr>
          <w:divsChild>
            <w:div w:id="1233199972">
              <w:marLeft w:val="0"/>
              <w:marRight w:val="0"/>
              <w:marTop w:val="0"/>
              <w:marBottom w:val="0"/>
              <w:divBdr>
                <w:top w:val="none" w:sz="0" w:space="0" w:color="auto"/>
                <w:left w:val="none" w:sz="0" w:space="0" w:color="auto"/>
                <w:bottom w:val="none" w:sz="0" w:space="0" w:color="auto"/>
                <w:right w:val="none" w:sz="0" w:space="0" w:color="auto"/>
              </w:divBdr>
              <w:divsChild>
                <w:div w:id="245309374">
                  <w:marLeft w:val="0"/>
                  <w:marRight w:val="0"/>
                  <w:marTop w:val="0"/>
                  <w:marBottom w:val="0"/>
                  <w:divBdr>
                    <w:top w:val="none" w:sz="0" w:space="0" w:color="auto"/>
                    <w:left w:val="none" w:sz="0" w:space="0" w:color="auto"/>
                    <w:bottom w:val="none" w:sz="0" w:space="0" w:color="auto"/>
                    <w:right w:val="none" w:sz="0" w:space="0" w:color="auto"/>
                  </w:divBdr>
                  <w:divsChild>
                    <w:div w:id="265963872">
                      <w:marLeft w:val="0"/>
                      <w:marRight w:val="0"/>
                      <w:marTop w:val="0"/>
                      <w:marBottom w:val="0"/>
                      <w:divBdr>
                        <w:top w:val="none" w:sz="0" w:space="0" w:color="auto"/>
                        <w:left w:val="none" w:sz="0" w:space="0" w:color="auto"/>
                        <w:bottom w:val="none" w:sz="0" w:space="0" w:color="auto"/>
                        <w:right w:val="none" w:sz="0" w:space="0" w:color="auto"/>
                      </w:divBdr>
                      <w:divsChild>
                        <w:div w:id="7863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82385">
      <w:bodyDiv w:val="1"/>
      <w:marLeft w:val="0"/>
      <w:marRight w:val="0"/>
      <w:marTop w:val="0"/>
      <w:marBottom w:val="0"/>
      <w:divBdr>
        <w:top w:val="none" w:sz="0" w:space="0" w:color="auto"/>
        <w:left w:val="none" w:sz="0" w:space="0" w:color="auto"/>
        <w:bottom w:val="none" w:sz="0" w:space="0" w:color="auto"/>
        <w:right w:val="none" w:sz="0" w:space="0" w:color="auto"/>
      </w:divBdr>
      <w:divsChild>
        <w:div w:id="546331948">
          <w:marLeft w:val="0"/>
          <w:marRight w:val="0"/>
          <w:marTop w:val="0"/>
          <w:marBottom w:val="0"/>
          <w:divBdr>
            <w:top w:val="none" w:sz="0" w:space="0" w:color="auto"/>
            <w:left w:val="none" w:sz="0" w:space="0" w:color="auto"/>
            <w:bottom w:val="none" w:sz="0" w:space="0" w:color="auto"/>
            <w:right w:val="none" w:sz="0" w:space="0" w:color="auto"/>
          </w:divBdr>
          <w:divsChild>
            <w:div w:id="819929148">
              <w:marLeft w:val="0"/>
              <w:marRight w:val="0"/>
              <w:marTop w:val="0"/>
              <w:marBottom w:val="0"/>
              <w:divBdr>
                <w:top w:val="none" w:sz="0" w:space="0" w:color="auto"/>
                <w:left w:val="none" w:sz="0" w:space="0" w:color="auto"/>
                <w:bottom w:val="none" w:sz="0" w:space="0" w:color="auto"/>
                <w:right w:val="none" w:sz="0" w:space="0" w:color="auto"/>
              </w:divBdr>
              <w:divsChild>
                <w:div w:id="1198471887">
                  <w:marLeft w:val="0"/>
                  <w:marRight w:val="0"/>
                  <w:marTop w:val="0"/>
                  <w:marBottom w:val="0"/>
                  <w:divBdr>
                    <w:top w:val="none" w:sz="0" w:space="0" w:color="auto"/>
                    <w:left w:val="none" w:sz="0" w:space="0" w:color="auto"/>
                    <w:bottom w:val="none" w:sz="0" w:space="0" w:color="auto"/>
                    <w:right w:val="none" w:sz="0" w:space="0" w:color="auto"/>
                  </w:divBdr>
                  <w:divsChild>
                    <w:div w:id="410546199">
                      <w:marLeft w:val="0"/>
                      <w:marRight w:val="0"/>
                      <w:marTop w:val="0"/>
                      <w:marBottom w:val="0"/>
                      <w:divBdr>
                        <w:top w:val="none" w:sz="0" w:space="0" w:color="auto"/>
                        <w:left w:val="none" w:sz="0" w:space="0" w:color="auto"/>
                        <w:bottom w:val="none" w:sz="0" w:space="0" w:color="auto"/>
                        <w:right w:val="none" w:sz="0" w:space="0" w:color="auto"/>
                      </w:divBdr>
                      <w:divsChild>
                        <w:div w:id="1163157568">
                          <w:marLeft w:val="0"/>
                          <w:marRight w:val="0"/>
                          <w:marTop w:val="0"/>
                          <w:marBottom w:val="0"/>
                          <w:divBdr>
                            <w:top w:val="none" w:sz="0" w:space="0" w:color="auto"/>
                            <w:left w:val="none" w:sz="0" w:space="0" w:color="auto"/>
                            <w:bottom w:val="none" w:sz="0" w:space="0" w:color="auto"/>
                            <w:right w:val="none" w:sz="0" w:space="0" w:color="auto"/>
                          </w:divBdr>
                          <w:divsChild>
                            <w:div w:id="485440691">
                              <w:marLeft w:val="0"/>
                              <w:marRight w:val="300"/>
                              <w:marTop w:val="180"/>
                              <w:marBottom w:val="0"/>
                              <w:divBdr>
                                <w:top w:val="none" w:sz="0" w:space="0" w:color="auto"/>
                                <w:left w:val="none" w:sz="0" w:space="0" w:color="auto"/>
                                <w:bottom w:val="none" w:sz="0" w:space="0" w:color="auto"/>
                                <w:right w:val="none" w:sz="0" w:space="0" w:color="auto"/>
                              </w:divBdr>
                              <w:divsChild>
                                <w:div w:id="938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3392">
          <w:marLeft w:val="0"/>
          <w:marRight w:val="0"/>
          <w:marTop w:val="0"/>
          <w:marBottom w:val="0"/>
          <w:divBdr>
            <w:top w:val="none" w:sz="0" w:space="0" w:color="auto"/>
            <w:left w:val="none" w:sz="0" w:space="0" w:color="auto"/>
            <w:bottom w:val="none" w:sz="0" w:space="0" w:color="auto"/>
            <w:right w:val="none" w:sz="0" w:space="0" w:color="auto"/>
          </w:divBdr>
          <w:divsChild>
            <w:div w:id="2050915108">
              <w:marLeft w:val="0"/>
              <w:marRight w:val="0"/>
              <w:marTop w:val="0"/>
              <w:marBottom w:val="0"/>
              <w:divBdr>
                <w:top w:val="none" w:sz="0" w:space="0" w:color="auto"/>
                <w:left w:val="none" w:sz="0" w:space="0" w:color="auto"/>
                <w:bottom w:val="none" w:sz="0" w:space="0" w:color="auto"/>
                <w:right w:val="none" w:sz="0" w:space="0" w:color="auto"/>
              </w:divBdr>
              <w:divsChild>
                <w:div w:id="1470442602">
                  <w:marLeft w:val="0"/>
                  <w:marRight w:val="0"/>
                  <w:marTop w:val="0"/>
                  <w:marBottom w:val="0"/>
                  <w:divBdr>
                    <w:top w:val="none" w:sz="0" w:space="0" w:color="auto"/>
                    <w:left w:val="none" w:sz="0" w:space="0" w:color="auto"/>
                    <w:bottom w:val="none" w:sz="0" w:space="0" w:color="auto"/>
                    <w:right w:val="none" w:sz="0" w:space="0" w:color="auto"/>
                  </w:divBdr>
                  <w:divsChild>
                    <w:div w:id="2127311404">
                      <w:marLeft w:val="0"/>
                      <w:marRight w:val="0"/>
                      <w:marTop w:val="0"/>
                      <w:marBottom w:val="0"/>
                      <w:divBdr>
                        <w:top w:val="none" w:sz="0" w:space="0" w:color="auto"/>
                        <w:left w:val="none" w:sz="0" w:space="0" w:color="auto"/>
                        <w:bottom w:val="none" w:sz="0" w:space="0" w:color="auto"/>
                        <w:right w:val="none" w:sz="0" w:space="0" w:color="auto"/>
                      </w:divBdr>
                      <w:divsChild>
                        <w:div w:id="3385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6C3A-26A5-4676-A500-8DE47BD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Svetoslav Tsekov</dc:creator>
  <cp:lastModifiedBy>Vladislav E. Tsvetanov</cp:lastModifiedBy>
  <cp:revision>4</cp:revision>
  <cp:lastPrinted>2020-09-17T08:32:00Z</cp:lastPrinted>
  <dcterms:created xsi:type="dcterms:W3CDTF">2020-11-04T16:47:00Z</dcterms:created>
  <dcterms:modified xsi:type="dcterms:W3CDTF">2020-11-04T16:53:00Z</dcterms:modified>
</cp:coreProperties>
</file>