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6B" w:rsidRDefault="002E576B" w:rsidP="002E576B">
      <w:pPr>
        <w:jc w:val="center"/>
        <w:rPr>
          <w:lang w:val="bg-BG"/>
        </w:rPr>
      </w:pPr>
      <w:r>
        <w:rPr>
          <w:lang w:val="bg-BG"/>
        </w:rPr>
        <w:t>Име на интервенцията: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576B" w:rsidTr="007F6563">
        <w:trPr>
          <w:trHeight w:val="622"/>
        </w:trPr>
        <w:tc>
          <w:tcPr>
            <w:tcW w:w="9242" w:type="dxa"/>
            <w:shd w:val="clear" w:color="auto" w:fill="B8CCE4" w:themeFill="accent1" w:themeFillTint="66"/>
          </w:tcPr>
          <w:p w:rsidR="002E576B" w:rsidRPr="00E53C53" w:rsidRDefault="009B2ED1" w:rsidP="002D46F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53C53">
              <w:rPr>
                <w:b/>
                <w:sz w:val="24"/>
                <w:szCs w:val="24"/>
                <w:lang w:val="bg-BG"/>
              </w:rPr>
              <w:t>Член 6</w:t>
            </w:r>
            <w:r w:rsidR="002D46FE">
              <w:rPr>
                <w:b/>
                <w:sz w:val="24"/>
                <w:szCs w:val="24"/>
                <w:lang w:val="bg-BG"/>
              </w:rPr>
              <w:t>4</w:t>
            </w:r>
            <w:r w:rsidRPr="00E53C53">
              <w:rPr>
                <w:b/>
                <w:sz w:val="24"/>
                <w:szCs w:val="24"/>
                <w:lang w:val="bg-BG"/>
              </w:rPr>
              <w:t>, б. „</w:t>
            </w:r>
            <w:r w:rsidR="002D46FE">
              <w:rPr>
                <w:b/>
                <w:sz w:val="24"/>
                <w:szCs w:val="24"/>
                <w:lang w:val="bg-BG"/>
              </w:rPr>
              <w:t>г</w:t>
            </w:r>
            <w:r w:rsidRPr="00E53C53">
              <w:rPr>
                <w:b/>
                <w:sz w:val="24"/>
                <w:szCs w:val="24"/>
                <w:lang w:val="bg-BG"/>
              </w:rPr>
              <w:t xml:space="preserve">“ - </w:t>
            </w:r>
            <w:r w:rsidR="002D46FE" w:rsidRPr="002D46FE">
              <w:rPr>
                <w:b/>
                <w:sz w:val="24"/>
                <w:szCs w:val="24"/>
                <w:lang w:val="bg-BG"/>
              </w:rPr>
              <w:t>инвестиции</w:t>
            </w:r>
          </w:p>
        </w:tc>
      </w:tr>
    </w:tbl>
    <w:p w:rsidR="002E576B" w:rsidRDefault="002E576B" w:rsidP="002E576B">
      <w:pPr>
        <w:jc w:val="center"/>
        <w:rPr>
          <w:lang w:val="bg-BG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2E576B" w:rsidTr="00252CFE">
        <w:tc>
          <w:tcPr>
            <w:tcW w:w="2943" w:type="dxa"/>
            <w:shd w:val="clear" w:color="auto" w:fill="B8CCE4" w:themeFill="accent1" w:themeFillTint="66"/>
          </w:tcPr>
          <w:p w:rsidR="002E576B" w:rsidRPr="002E576B" w:rsidRDefault="002E576B" w:rsidP="002E576B">
            <w:pPr>
              <w:ind w:right="1711"/>
              <w:rPr>
                <w:b/>
                <w:lang w:val="bg-BG"/>
              </w:rPr>
            </w:pPr>
            <w:r w:rsidRPr="002E576B">
              <w:rPr>
                <w:b/>
                <w:lang w:val="bg-BG"/>
              </w:rPr>
              <w:t>Фонд</w:t>
            </w:r>
          </w:p>
        </w:tc>
        <w:tc>
          <w:tcPr>
            <w:tcW w:w="6379" w:type="dxa"/>
          </w:tcPr>
          <w:p w:rsidR="002E576B" w:rsidRPr="00A379EA" w:rsidRDefault="009B2ED1" w:rsidP="002E576B">
            <w:pPr>
              <w:jc w:val="center"/>
              <w:rPr>
                <w:lang w:val="bg-BG"/>
              </w:rPr>
            </w:pPr>
            <w:r w:rsidRPr="00A379EA">
              <w:rPr>
                <w:lang w:val="bg-BG"/>
              </w:rPr>
              <w:t>Европейски земеделски фонд за развитие на селските райони (ЕЗФРСР)</w:t>
            </w:r>
          </w:p>
        </w:tc>
      </w:tr>
      <w:tr w:rsidR="002E576B" w:rsidTr="00252CFE">
        <w:tc>
          <w:tcPr>
            <w:tcW w:w="2943" w:type="dxa"/>
            <w:shd w:val="clear" w:color="auto" w:fill="B8CCE4" w:themeFill="accent1" w:themeFillTint="66"/>
            <w:vAlign w:val="center"/>
          </w:tcPr>
          <w:p w:rsidR="002E576B" w:rsidRPr="00BC2D56" w:rsidRDefault="002E576B" w:rsidP="00BC2D56">
            <w:pPr>
              <w:rPr>
                <w:b/>
              </w:rPr>
            </w:pPr>
            <w:r w:rsidRPr="002E576B">
              <w:rPr>
                <w:b/>
                <w:lang w:val="bg-BG"/>
              </w:rPr>
              <w:t>Тип на интервенцията</w:t>
            </w:r>
          </w:p>
        </w:tc>
        <w:tc>
          <w:tcPr>
            <w:tcW w:w="6379" w:type="dxa"/>
            <w:vAlign w:val="center"/>
          </w:tcPr>
          <w:p w:rsidR="002E576B" w:rsidRPr="00A379EA" w:rsidRDefault="00F6215E" w:rsidP="009B2ED1">
            <w:pPr>
              <w:jc w:val="center"/>
              <w:rPr>
                <w:lang w:val="bg-BG"/>
              </w:rPr>
            </w:pPr>
            <w:r w:rsidRPr="00A379EA">
              <w:rPr>
                <w:lang w:val="bg-BG"/>
              </w:rPr>
              <w:t>Инвестиции</w:t>
            </w:r>
            <w:r w:rsidR="002D46FE" w:rsidRPr="00A379EA">
              <w:rPr>
                <w:lang w:val="bg-BG"/>
              </w:rPr>
              <w:t xml:space="preserve">  за  неселскостопански  дейности  в селските райони</w:t>
            </w:r>
          </w:p>
        </w:tc>
      </w:tr>
      <w:tr w:rsidR="002E576B" w:rsidTr="00252CFE">
        <w:tc>
          <w:tcPr>
            <w:tcW w:w="2943" w:type="dxa"/>
            <w:shd w:val="clear" w:color="auto" w:fill="B8CCE4" w:themeFill="accent1" w:themeFillTint="66"/>
            <w:vAlign w:val="center"/>
          </w:tcPr>
          <w:p w:rsidR="002E576B" w:rsidRPr="00BC2D56" w:rsidRDefault="002E576B" w:rsidP="002E576B">
            <w:pPr>
              <w:rPr>
                <w:b/>
              </w:rPr>
            </w:pPr>
            <w:r w:rsidRPr="002E576B">
              <w:rPr>
                <w:b/>
                <w:lang w:val="bg-BG"/>
              </w:rPr>
              <w:t>Териториален обхват</w:t>
            </w:r>
            <w:r w:rsidR="004D47EE">
              <w:rPr>
                <w:b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2E576B" w:rsidRPr="00A379EA" w:rsidRDefault="00A7344D" w:rsidP="002D46FE">
            <w:pPr>
              <w:jc w:val="center"/>
              <w:rPr>
                <w:lang w:val="bg-BG"/>
              </w:rPr>
            </w:pPr>
            <w:r w:rsidRPr="00A379EA">
              <w:rPr>
                <w:lang w:val="bg-BG"/>
              </w:rPr>
              <w:t xml:space="preserve">Дейностите по проектите се осъществят на територията на </w:t>
            </w:r>
            <w:r w:rsidR="002D46FE" w:rsidRPr="00A379EA">
              <w:rPr>
                <w:lang w:val="bg-BG"/>
              </w:rPr>
              <w:t>селски район</w:t>
            </w:r>
            <w:r w:rsidRPr="00A379EA">
              <w:rPr>
                <w:lang w:val="bg-BG"/>
              </w:rPr>
              <w:t>.</w:t>
            </w:r>
          </w:p>
        </w:tc>
      </w:tr>
      <w:tr w:rsidR="002E576B" w:rsidTr="00252CFE">
        <w:tc>
          <w:tcPr>
            <w:tcW w:w="2943" w:type="dxa"/>
            <w:shd w:val="clear" w:color="auto" w:fill="B8CCE4" w:themeFill="accent1" w:themeFillTint="66"/>
            <w:vAlign w:val="center"/>
          </w:tcPr>
          <w:p w:rsidR="002E576B" w:rsidRPr="002E576B" w:rsidRDefault="002E576B" w:rsidP="002E576B">
            <w:pPr>
              <w:rPr>
                <w:b/>
                <w:lang w:val="bg-BG"/>
              </w:rPr>
            </w:pPr>
            <w:r w:rsidRPr="00027128">
              <w:rPr>
                <w:b/>
                <w:lang w:val="bg-BG"/>
              </w:rPr>
              <w:t>Свързани специфични цели и където е релевантно, секторни приоритети</w:t>
            </w:r>
          </w:p>
        </w:tc>
        <w:tc>
          <w:tcPr>
            <w:tcW w:w="6379" w:type="dxa"/>
            <w:vAlign w:val="center"/>
          </w:tcPr>
          <w:p w:rsidR="009B2ED1" w:rsidRPr="00A379EA" w:rsidRDefault="009B2ED1" w:rsidP="00C976BE">
            <w:pPr>
              <w:jc w:val="center"/>
              <w:rPr>
                <w:lang w:val="bg-BG"/>
              </w:rPr>
            </w:pPr>
            <w:r w:rsidRPr="00A379EA">
              <w:rPr>
                <w:lang w:val="bg-BG"/>
              </w:rPr>
              <w:t xml:space="preserve">Типа на интервенцията е пряко свързан със </w:t>
            </w:r>
            <w:r w:rsidR="00567D49" w:rsidRPr="00A379EA">
              <w:rPr>
                <w:lang w:val="bg-BG"/>
              </w:rPr>
              <w:t xml:space="preserve">Специфична цел </w:t>
            </w:r>
            <w:r w:rsidR="002D46FE" w:rsidRPr="00A379EA">
              <w:rPr>
                <w:lang w:val="bg-BG"/>
              </w:rPr>
              <w:t>8</w:t>
            </w:r>
            <w:r w:rsidR="00567D49" w:rsidRPr="00A379EA">
              <w:rPr>
                <w:lang w:val="bg-BG"/>
              </w:rPr>
              <w:t xml:space="preserve"> „</w:t>
            </w:r>
            <w:r w:rsidR="002D46FE" w:rsidRPr="00A379EA">
              <w:rPr>
                <w:lang w:val="bg-BG"/>
              </w:rPr>
              <w:t>Насърчаване на заетостта, растежа, социалното приобщаване и местното развитие в селските райони, включително биоикономиката и устойчивото горско стопанство</w:t>
            </w:r>
            <w:r w:rsidR="00567D49" w:rsidRPr="00A379EA">
              <w:rPr>
                <w:lang w:val="bg-BG"/>
              </w:rPr>
              <w:t>“</w:t>
            </w:r>
            <w:r w:rsidRPr="00A379EA">
              <w:rPr>
                <w:lang w:val="bg-BG"/>
              </w:rPr>
              <w:t xml:space="preserve"> и има за цел </w:t>
            </w:r>
            <w:r w:rsidR="002D46FE" w:rsidRPr="00A379EA">
              <w:rPr>
                <w:lang w:val="bg-BG"/>
              </w:rPr>
              <w:t>насърчаване развитието на неземеделски дейности в селските райони</w:t>
            </w:r>
          </w:p>
        </w:tc>
      </w:tr>
      <w:tr w:rsidR="002E576B" w:rsidTr="00252CFE">
        <w:tc>
          <w:tcPr>
            <w:tcW w:w="2943" w:type="dxa"/>
            <w:shd w:val="clear" w:color="auto" w:fill="B8CCE4" w:themeFill="accent1" w:themeFillTint="66"/>
            <w:vAlign w:val="center"/>
          </w:tcPr>
          <w:p w:rsidR="002E576B" w:rsidRPr="002E576B" w:rsidRDefault="002E576B" w:rsidP="002E576B">
            <w:pPr>
              <w:rPr>
                <w:b/>
                <w:lang w:val="bg-BG"/>
              </w:rPr>
            </w:pPr>
            <w:r w:rsidRPr="002E576B">
              <w:rPr>
                <w:b/>
                <w:lang w:val="bg-BG"/>
              </w:rPr>
              <w:t>Индикатори за резултат</w:t>
            </w:r>
            <w:r w:rsidR="00F22043">
              <w:rPr>
                <w:b/>
                <w:lang w:val="bg-BG"/>
              </w:rPr>
              <w:t xml:space="preserve"> </w:t>
            </w:r>
            <w:r w:rsidR="00F22043" w:rsidRPr="00F22043">
              <w:rPr>
                <w:b/>
                <w:sz w:val="20"/>
                <w:szCs w:val="20"/>
                <w:lang w:val="bg-BG"/>
              </w:rPr>
              <w:t>(</w:t>
            </w:r>
            <w:r w:rsidR="00F22043" w:rsidRPr="00F22043">
              <w:rPr>
                <w:b/>
                <w:i/>
                <w:sz w:val="20"/>
                <w:szCs w:val="20"/>
                <w:lang w:val="bg-BG"/>
              </w:rPr>
              <w:t>най-малко един</w:t>
            </w:r>
            <w:r w:rsidR="00F22043" w:rsidRPr="00F22043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379" w:type="dxa"/>
            <w:vAlign w:val="center"/>
          </w:tcPr>
          <w:p w:rsidR="002E576B" w:rsidRPr="00A379EA" w:rsidRDefault="00990965" w:rsidP="00C976BE">
            <w:pPr>
              <w:jc w:val="center"/>
              <w:rPr>
                <w:lang w:val="bg-BG"/>
              </w:rPr>
            </w:pPr>
            <w:r w:rsidRPr="00A379EA">
              <w:t>O</w:t>
            </w:r>
            <w:r w:rsidR="006116AD" w:rsidRPr="00A379EA">
              <w:t>.</w:t>
            </w:r>
            <w:r w:rsidRPr="00A379EA">
              <w:rPr>
                <w:lang w:val="en-US"/>
              </w:rPr>
              <w:t>21</w:t>
            </w:r>
            <w:r w:rsidR="008C4658" w:rsidRPr="00A379EA">
              <w:rPr>
                <w:lang w:val="bg-BG"/>
              </w:rPr>
              <w:t xml:space="preserve"> </w:t>
            </w:r>
            <w:r w:rsidRPr="00A379EA">
              <w:rPr>
                <w:lang w:val="bg-BG"/>
              </w:rPr>
              <w:t xml:space="preserve">Брой операции за производствени инвестиции извън </w:t>
            </w:r>
            <w:r w:rsidR="004A3274" w:rsidRPr="00A379EA">
              <w:rPr>
                <w:lang w:val="bg-BG"/>
              </w:rPr>
              <w:t>земеделското стопанство</w:t>
            </w:r>
            <w:r w:rsidRPr="00A379EA">
              <w:rPr>
                <w:lang w:val="bg-BG"/>
              </w:rPr>
              <w:t xml:space="preserve"> или </w:t>
            </w:r>
            <w:r w:rsidR="004A3274" w:rsidRPr="00A379EA">
              <w:rPr>
                <w:lang w:val="bg-BG"/>
              </w:rPr>
              <w:t>субекти</w:t>
            </w:r>
            <w:r w:rsidRPr="00A379EA">
              <w:rPr>
                <w:lang w:val="bg-BG"/>
              </w:rPr>
              <w:t>, получаващи подкрепа по ЕЗФРСР</w:t>
            </w:r>
          </w:p>
        </w:tc>
      </w:tr>
      <w:tr w:rsidR="002E576B" w:rsidTr="00252CFE">
        <w:tc>
          <w:tcPr>
            <w:tcW w:w="2943" w:type="dxa"/>
            <w:shd w:val="clear" w:color="auto" w:fill="B8CCE4" w:themeFill="accent1" w:themeFillTint="66"/>
            <w:vAlign w:val="center"/>
          </w:tcPr>
          <w:p w:rsidR="002E576B" w:rsidRPr="002E576B" w:rsidRDefault="002E576B" w:rsidP="002E576B">
            <w:pPr>
              <w:rPr>
                <w:b/>
                <w:lang w:val="bg-BG"/>
              </w:rPr>
            </w:pPr>
            <w:r w:rsidRPr="002E576B">
              <w:rPr>
                <w:b/>
                <w:lang w:val="bg-BG"/>
              </w:rPr>
              <w:t>Допустими бенефициенти</w:t>
            </w:r>
          </w:p>
        </w:tc>
        <w:tc>
          <w:tcPr>
            <w:tcW w:w="6379" w:type="dxa"/>
            <w:vAlign w:val="center"/>
          </w:tcPr>
          <w:p w:rsidR="002E576B" w:rsidRPr="00A379EA" w:rsidRDefault="00B93A3D" w:rsidP="006116AD">
            <w:pPr>
              <w:jc w:val="center"/>
              <w:rPr>
                <w:lang w:val="bg-BG"/>
              </w:rPr>
            </w:pPr>
            <w:r w:rsidRPr="00A379EA">
              <w:rPr>
                <w:lang w:val="bg-BG"/>
              </w:rPr>
              <w:t>Земеделски стопани</w:t>
            </w:r>
            <w:r w:rsidR="006116AD" w:rsidRPr="00A379EA">
              <w:rPr>
                <w:lang w:val="bg-BG"/>
              </w:rPr>
              <w:t xml:space="preserve">, микропредприятия </w:t>
            </w:r>
            <w:r w:rsidRPr="00A379EA">
              <w:rPr>
                <w:lang w:val="bg-BG"/>
              </w:rPr>
              <w:t>и физически лица</w:t>
            </w:r>
          </w:p>
        </w:tc>
      </w:tr>
    </w:tbl>
    <w:p w:rsidR="002E576B" w:rsidRDefault="002E576B" w:rsidP="002E576B">
      <w:pPr>
        <w:jc w:val="center"/>
      </w:pPr>
    </w:p>
    <w:p w:rsidR="005F556B" w:rsidRPr="0046113A" w:rsidRDefault="004D583C" w:rsidP="0046113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bg-BG"/>
        </w:rPr>
      </w:pPr>
      <w:r w:rsidRPr="0046113A">
        <w:rPr>
          <w:b/>
          <w:lang w:val="bg-BG"/>
        </w:rPr>
        <w:t>Описание на дизайна на</w:t>
      </w:r>
      <w:r w:rsidR="008A7C31" w:rsidRPr="0046113A">
        <w:rPr>
          <w:b/>
          <w:lang w:val="bg-BG"/>
        </w:rPr>
        <w:t xml:space="preserve"> </w:t>
      </w:r>
      <w:r w:rsidRPr="0046113A">
        <w:rPr>
          <w:b/>
          <w:lang w:val="bg-BG"/>
        </w:rPr>
        <w:t xml:space="preserve">интервенцията;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556B" w:rsidTr="005F556B">
        <w:tc>
          <w:tcPr>
            <w:tcW w:w="9242" w:type="dxa"/>
          </w:tcPr>
          <w:p w:rsidR="002E22B5" w:rsidRDefault="00A117A6" w:rsidP="00F87784">
            <w:pPr>
              <w:jc w:val="both"/>
              <w:rPr>
                <w:lang w:val="bg-BG"/>
              </w:rPr>
            </w:pPr>
            <w:r w:rsidRPr="001F3756">
              <w:rPr>
                <w:lang w:val="bg-BG"/>
              </w:rPr>
              <w:t>Икономиката на селските райони се развива в условията на благоприятно влияние на основни макроикономически фактори, които подкрепят устойчивостта на бизнеса и на икономиката</w:t>
            </w:r>
            <w:r>
              <w:rPr>
                <w:lang w:val="bg-BG"/>
              </w:rPr>
              <w:t xml:space="preserve">. </w:t>
            </w:r>
            <w:r w:rsidR="00BA5261">
              <w:rPr>
                <w:lang w:val="bg-BG"/>
              </w:rPr>
              <w:t>Интервенцията има за цел да обхване микро</w:t>
            </w:r>
            <w:r w:rsidR="001F3756" w:rsidRPr="001F3756">
              <w:rPr>
                <w:lang w:val="bg-BG"/>
              </w:rPr>
              <w:t xml:space="preserve"> предприятия</w:t>
            </w:r>
            <w:r w:rsidR="00C439ED">
              <w:rPr>
                <w:lang w:val="bg-BG"/>
              </w:rPr>
              <w:t>та</w:t>
            </w:r>
            <w:r w:rsidR="00BA5261">
              <w:rPr>
                <w:lang w:val="bg-BG"/>
              </w:rPr>
              <w:t xml:space="preserve">, които </w:t>
            </w:r>
            <w:r w:rsidR="001F3756" w:rsidRPr="001F3756">
              <w:rPr>
                <w:lang w:val="bg-BG"/>
              </w:rPr>
              <w:t>са основен източник на растежа и създаването на повече работни места</w:t>
            </w:r>
            <w:r>
              <w:rPr>
                <w:lang w:val="bg-BG"/>
              </w:rPr>
              <w:t>, включително диверсификация на икономическите дейности на земеделските стопани, които преобладават в тези райони</w:t>
            </w:r>
            <w:r w:rsidR="001F3756" w:rsidRPr="001F3756">
              <w:rPr>
                <w:lang w:val="bg-BG"/>
              </w:rPr>
              <w:t>.</w:t>
            </w:r>
            <w:r w:rsidR="001F3756">
              <w:t xml:space="preserve"> </w:t>
            </w:r>
            <w:r w:rsidR="00C439ED">
              <w:rPr>
                <w:lang w:val="bg-BG"/>
              </w:rPr>
              <w:t>Микропредприятията</w:t>
            </w:r>
            <w:r w:rsidR="001F3756" w:rsidRPr="001F3756">
              <w:rPr>
                <w:lang w:val="bg-BG"/>
              </w:rPr>
              <w:t xml:space="preserve"> са ключова предпоставка за наличието на конкуренция и работещи пазари, а оттам и за цялостното икономическо развитие на една страна</w:t>
            </w:r>
            <w:r w:rsidR="001F3756">
              <w:rPr>
                <w:lang w:val="bg-BG"/>
              </w:rPr>
              <w:t>.</w:t>
            </w:r>
            <w:r>
              <w:rPr>
                <w:lang w:val="en-US"/>
              </w:rPr>
              <w:t xml:space="preserve"> </w:t>
            </w:r>
            <w:r w:rsidR="002E22B5">
              <w:rPr>
                <w:lang w:val="bg-BG"/>
              </w:rPr>
              <w:t xml:space="preserve">В селските райони, </w:t>
            </w:r>
            <w:r w:rsidR="00C439ED">
              <w:rPr>
                <w:lang w:val="bg-BG"/>
              </w:rPr>
              <w:t>микро</w:t>
            </w:r>
            <w:r w:rsidR="008C110F" w:rsidRPr="008C110F">
              <w:rPr>
                <w:lang w:val="bg-BG"/>
              </w:rPr>
              <w:t>предприятия</w:t>
            </w:r>
            <w:r w:rsidR="00C439ED">
              <w:rPr>
                <w:lang w:val="bg-BG"/>
              </w:rPr>
              <w:t>та</w:t>
            </w:r>
            <w:r w:rsidR="008C110F" w:rsidRPr="008C110F">
              <w:rPr>
                <w:lang w:val="bg-BG"/>
              </w:rPr>
              <w:t xml:space="preserve"> са най-развити в секторите „Търговия; ремонт на автомобили и мотоциклети“, „Хотелиерство и ресторантьорство“ и </w:t>
            </w:r>
            <w:r w:rsidR="002E22B5">
              <w:rPr>
                <w:lang w:val="bg-BG"/>
              </w:rPr>
              <w:t>„Транспорт, складиране и пощи“.</w:t>
            </w:r>
          </w:p>
          <w:p w:rsidR="001F3756" w:rsidRDefault="008C110F" w:rsidP="00F87784">
            <w:pPr>
              <w:jc w:val="both"/>
              <w:rPr>
                <w:lang w:val="bg-BG"/>
              </w:rPr>
            </w:pPr>
            <w:r w:rsidRPr="008C110F">
              <w:rPr>
                <w:lang w:val="bg-BG"/>
              </w:rPr>
              <w:t xml:space="preserve">Инвестирането  в микро предприятия в информационния и технологичен сектор и създаването на творчески продукти, могат да бъдат двигатели за създаване на работни места в областта на технологично управление, на технологии за дистрибуция (обединяване на пазарни центрове в дигиталното пространство), с цифровите технологии,  информационни продукти за автоматизация и роботизация на производствени процеси и др.  </w:t>
            </w:r>
          </w:p>
          <w:p w:rsidR="001F3756" w:rsidRDefault="002E22B5" w:rsidP="00F87784">
            <w:pPr>
              <w:jc w:val="both"/>
              <w:rPr>
                <w:lang w:val="bg-BG"/>
              </w:rPr>
            </w:pPr>
            <w:r w:rsidRPr="002E22B5">
              <w:rPr>
                <w:lang w:val="bg-BG"/>
              </w:rPr>
              <w:t>Необходимо е насърчаването на различни производства, базирани на алтернативни производствени процеси, които могат да намалят екологичния отпечатък от дейността.    Икономическото развитие в селските райони следва да улесни стопанската дейност и да стимулира дейности за насърчаване на местната конкурентоспособност, постигане на жизненост на населените места в селските райони и качеството и стандарта на живот, както и да се подобри степента на развитие на човешкия капитал и инфраструктура.</w:t>
            </w:r>
            <w:r w:rsidR="00A117A6" w:rsidRPr="00A117A6">
              <w:rPr>
                <w:lang w:val="bg-BG"/>
              </w:rPr>
              <w:t xml:space="preserve"> От друга страна селският туризъм се развива през последните години и постепенно започва да конкурира традиционните видове туризъм в България. За населените места в селските райони, които притежават природни, исторически, културни и екологични дадености, туризмът се превръща в икономическа дейност, която може да оживи местната икономиката. Подходящо е да се развиват алтернативни форми на туризъм, допълващи местата за настаняване.</w:t>
            </w:r>
            <w:r>
              <w:rPr>
                <w:lang w:val="bg-BG"/>
              </w:rPr>
              <w:t xml:space="preserve"> </w:t>
            </w:r>
            <w:r w:rsidRPr="002E22B5">
              <w:rPr>
                <w:lang w:val="bg-BG"/>
              </w:rPr>
              <w:t>Диверсификацията на икономиката в селските райони може да се постигне чрез развитие на икономически дейности, свързани с търговия, услуги, преработващата промишленост и на дейности, в които по-малкото присъстват предприятия в сектори на индустрията, които допринасят с добавена стойност (изоставане в развитието на предприятия, внедряващи иновации в селските райони.).</w:t>
            </w:r>
            <w:r w:rsidR="002C6816" w:rsidRPr="00A117A6">
              <w:rPr>
                <w:lang w:val="bg-BG"/>
              </w:rPr>
              <w:t xml:space="preserve"> В селските райони </w:t>
            </w:r>
            <w:r w:rsidR="00E63F65" w:rsidRPr="00A117A6">
              <w:rPr>
                <w:lang w:val="bg-BG"/>
              </w:rPr>
              <w:t>съществува възможност</w:t>
            </w:r>
            <w:r w:rsidR="002C6816" w:rsidRPr="00A117A6">
              <w:rPr>
                <w:lang w:val="bg-BG"/>
              </w:rPr>
              <w:t xml:space="preserve"> да се </w:t>
            </w:r>
            <w:r w:rsidR="00A117A6" w:rsidRPr="00A117A6">
              <w:rPr>
                <w:lang w:val="bg-BG"/>
              </w:rPr>
              <w:t xml:space="preserve">развива бизнес </w:t>
            </w:r>
            <w:r w:rsidR="00A117A6" w:rsidRPr="00A117A6">
              <w:rPr>
                <w:lang w:val="bg-BG"/>
              </w:rPr>
              <w:lastRenderedPageBreak/>
              <w:t>насочен към по добро оползотворяване на остатъците от селскостопанското производство</w:t>
            </w:r>
            <w:r w:rsidR="002C6816" w:rsidRPr="00A117A6">
              <w:rPr>
                <w:lang w:val="bg-BG"/>
              </w:rPr>
              <w:t>.</w:t>
            </w:r>
            <w:r w:rsidR="002C6816" w:rsidRPr="002C6816">
              <w:rPr>
                <w:color w:val="FF0000"/>
                <w:lang w:val="bg-BG"/>
              </w:rPr>
              <w:t xml:space="preserve"> </w:t>
            </w:r>
          </w:p>
          <w:p w:rsidR="00BA5261" w:rsidRDefault="002E22B5" w:rsidP="00F8778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Насърчаване на инвестиции</w:t>
            </w:r>
            <w:r w:rsidRPr="002E22B5">
              <w:rPr>
                <w:lang w:val="bg-BG"/>
              </w:rPr>
              <w:t xml:space="preserve"> в областта на здравеопазването и социалните услуги са ключови за преодоляване на множество здравни проблеми и предизвикателства в селските райони като достъпни, качествени, здравни и социални услуги, преодоляване на здравните и социалн</w:t>
            </w:r>
            <w:r>
              <w:rPr>
                <w:lang w:val="bg-BG"/>
              </w:rPr>
              <w:t>и неравенства, оптимизиране на извънболничната помощ.</w:t>
            </w:r>
            <w:r w:rsidR="002C6816">
              <w:rPr>
                <w:lang w:val="bg-BG"/>
              </w:rPr>
              <w:t xml:space="preserve"> </w:t>
            </w:r>
            <w:r w:rsidR="002C6816" w:rsidRPr="002C6816">
              <w:rPr>
                <w:lang w:val="bg-BG"/>
              </w:rPr>
              <w:t>Нуждите от здравните услуги могат да се сведат до инвестиране в мобилни здравни услуги максимално близки до здравните нужди на населението</w:t>
            </w:r>
            <w:r w:rsidR="00A117A6">
              <w:rPr>
                <w:lang w:val="bg-BG"/>
              </w:rPr>
              <w:t xml:space="preserve">. </w:t>
            </w:r>
            <w:r w:rsidR="002C6816" w:rsidRPr="002C6816">
              <w:rPr>
                <w:lang w:val="bg-BG"/>
              </w:rPr>
              <w:t>Повишаване на търсенето на дългосрочни грижи сред възрастното население в контекста на демографското застаряване, извеждат на преден план необходимостта от междусекторно взаимодействие и прилагане на интегриран подход в грижата за възрастните хора и хората с увреждания</w:t>
            </w:r>
            <w:r w:rsidR="002C6816">
              <w:rPr>
                <w:lang w:val="bg-BG"/>
              </w:rPr>
              <w:t>.</w:t>
            </w:r>
            <w:r w:rsidR="00A117A6">
              <w:rPr>
                <w:lang w:val="bg-BG"/>
              </w:rPr>
              <w:t xml:space="preserve"> </w:t>
            </w:r>
            <w:r w:rsidR="00295C3C" w:rsidRPr="00295C3C">
              <w:rPr>
                <w:lang w:val="bg-BG"/>
              </w:rPr>
              <w:t>Социални услуги свързани с</w:t>
            </w:r>
            <w:r w:rsidR="00295C3C">
              <w:rPr>
                <w:lang w:val="bg-BG"/>
              </w:rPr>
              <w:t>ъс</w:t>
            </w:r>
            <w:r w:rsidR="00295C3C" w:rsidRPr="00295C3C">
              <w:rPr>
                <w:lang w:val="bg-BG"/>
              </w:rPr>
              <w:t xml:space="preserve"> социализирането на деца с увреждания и деца с хронични заболявания местната общност може да предлага подходяща инфраструктура за дневни центрове или други подходящи форми за предоставяне на услуги. В дневните центрове могат да се предлагат комплекс от социални услуги, свързани с образователно и професионално обучение, игрови занимания и индивидуални програми или групови програми  за социално включване. т.е. обновяване на материалната база за дневни центрове за занимания или спортни площадки адекватни на техните нужди</w:t>
            </w:r>
            <w:r w:rsidR="00295C3C">
              <w:rPr>
                <w:lang w:val="bg-BG"/>
              </w:rPr>
              <w:t>.</w:t>
            </w:r>
            <w:r w:rsidR="00A117A6">
              <w:rPr>
                <w:lang w:val="bg-BG"/>
              </w:rPr>
              <w:t xml:space="preserve"> Също така ч</w:t>
            </w:r>
            <w:r w:rsidR="00BA5261" w:rsidRPr="00816DB9">
              <w:rPr>
                <w:lang w:val="bg-BG"/>
              </w:rPr>
              <w:t xml:space="preserve">рез прилагане на интервенцията </w:t>
            </w:r>
            <w:r w:rsidR="00A117A6">
              <w:rPr>
                <w:lang w:val="bg-BG"/>
              </w:rPr>
              <w:t>има възможност да</w:t>
            </w:r>
            <w:r w:rsidR="00BA5261" w:rsidRPr="00816DB9">
              <w:rPr>
                <w:lang w:val="bg-BG"/>
              </w:rPr>
              <w:t xml:space="preserve"> се стимулират творческите занаяти, които са част от културното наследство и традиции.</w:t>
            </w:r>
            <w:r w:rsidR="00BA5261">
              <w:rPr>
                <w:lang w:val="bg-BG"/>
              </w:rPr>
              <w:t xml:space="preserve"> </w:t>
            </w:r>
          </w:p>
          <w:p w:rsidR="00233E80" w:rsidRPr="00D15C9E" w:rsidRDefault="005E111D" w:rsidP="00233E80">
            <w:pPr>
              <w:jc w:val="both"/>
              <w:rPr>
                <w:lang w:val="bg-BG"/>
              </w:rPr>
            </w:pPr>
            <w:r w:rsidRPr="00772B90">
              <w:rPr>
                <w:lang w:val="bg-BG"/>
              </w:rPr>
              <w:t>С цел приоритетно</w:t>
            </w:r>
            <w:r w:rsidR="006116AD">
              <w:rPr>
                <w:lang w:val="bg-BG"/>
              </w:rPr>
              <w:t xml:space="preserve"> подпомагане чрез интервенцията, </w:t>
            </w:r>
            <w:r w:rsidR="005F6993">
              <w:rPr>
                <w:lang w:val="bg-BG"/>
              </w:rPr>
              <w:t xml:space="preserve">за неземеделските </w:t>
            </w:r>
            <w:r w:rsidRPr="00772B90">
              <w:rPr>
                <w:lang w:val="bg-BG"/>
              </w:rPr>
              <w:t>дейности определени в анализа като приоритетни ще бъде разработен подход, ко</w:t>
            </w:r>
            <w:r w:rsidR="005F6993">
              <w:rPr>
                <w:lang w:val="bg-BG"/>
              </w:rPr>
              <w:t>й</w:t>
            </w:r>
            <w:r w:rsidRPr="00772B90">
              <w:rPr>
                <w:lang w:val="bg-BG"/>
              </w:rPr>
              <w:t>то да позволи целево насочване на финансирането.</w:t>
            </w:r>
          </w:p>
        </w:tc>
      </w:tr>
    </w:tbl>
    <w:p w:rsidR="005F556B" w:rsidRDefault="005F556B" w:rsidP="005F556B">
      <w:pPr>
        <w:jc w:val="both"/>
        <w:rPr>
          <w:lang w:val="bg-BG"/>
        </w:rPr>
      </w:pPr>
    </w:p>
    <w:p w:rsidR="00BC2D56" w:rsidRPr="0046113A" w:rsidRDefault="005F556B" w:rsidP="0046113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bg-BG"/>
        </w:rPr>
      </w:pPr>
      <w:r w:rsidRPr="0046113A">
        <w:rPr>
          <w:b/>
          <w:lang w:val="bg-BG"/>
        </w:rPr>
        <w:t xml:space="preserve">Идентифициране на съответните базови елементи (напр. </w:t>
      </w:r>
      <w:r w:rsidR="004D47EE" w:rsidRPr="0046113A">
        <w:rPr>
          <w:b/>
          <w:lang w:val="bg-BG"/>
        </w:rPr>
        <w:t xml:space="preserve">съответните </w:t>
      </w:r>
      <w:r w:rsidRPr="0046113A">
        <w:rPr>
          <w:b/>
          <w:lang w:val="bg-BG"/>
        </w:rPr>
        <w:t>GAEC или нормативно установени изисквания за управление (SMR), където е приложимо, и обяснение за това как ангажиментите надхвърлят задължителните изисквания:</w:t>
      </w:r>
    </w:p>
    <w:p w:rsidR="005F556B" w:rsidRPr="00BC2D56" w:rsidRDefault="00BC2D56" w:rsidP="005F556B">
      <w:pPr>
        <w:spacing w:line="240" w:lineRule="auto"/>
        <w:jc w:val="both"/>
        <w:rPr>
          <w:i/>
          <w:lang w:val="bg-BG"/>
        </w:rPr>
      </w:pPr>
      <w:r w:rsidRPr="00BC2D56">
        <w:rPr>
          <w:i/>
          <w:lang w:val="bg-BG"/>
        </w:rPr>
        <w:t>/за интервенции в областта на околната среда и климата, артикулацията с изискванията за условност трябва да показват, че практиките се допълват и не се припокриват/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556B" w:rsidRPr="00027128" w:rsidTr="005F556B">
        <w:tc>
          <w:tcPr>
            <w:tcW w:w="9242" w:type="dxa"/>
          </w:tcPr>
          <w:p w:rsidR="005F556B" w:rsidRPr="00AA069F" w:rsidRDefault="005E111D" w:rsidP="005F556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Неприложимо за конкретния тип интервенция</w:t>
            </w:r>
            <w:r w:rsidR="004B5C67" w:rsidRPr="00AA069F">
              <w:rPr>
                <w:lang w:val="bg-BG"/>
              </w:rPr>
              <w:t xml:space="preserve"> </w:t>
            </w:r>
          </w:p>
        </w:tc>
      </w:tr>
    </w:tbl>
    <w:p w:rsidR="005F556B" w:rsidRDefault="005F556B" w:rsidP="005F556B">
      <w:pPr>
        <w:spacing w:line="240" w:lineRule="auto"/>
        <w:jc w:val="both"/>
        <w:rPr>
          <w:b/>
          <w:lang w:val="bg-BG"/>
        </w:rPr>
      </w:pPr>
    </w:p>
    <w:p w:rsidR="005F556B" w:rsidRPr="0046113A" w:rsidRDefault="005F556B" w:rsidP="0046113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bg-BG"/>
        </w:rPr>
      </w:pPr>
      <w:r w:rsidRPr="0046113A">
        <w:rPr>
          <w:b/>
          <w:lang w:val="bg-BG"/>
        </w:rPr>
        <w:t>Условия за допустимост: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556B" w:rsidTr="005F556B">
        <w:tc>
          <w:tcPr>
            <w:tcW w:w="9242" w:type="dxa"/>
          </w:tcPr>
          <w:p w:rsidR="001C73C8" w:rsidRPr="00A43110" w:rsidRDefault="001C73C8" w:rsidP="00DD2EB7">
            <w:pPr>
              <w:jc w:val="both"/>
              <w:rPr>
                <w:b/>
                <w:lang w:val="bg-BG"/>
              </w:rPr>
            </w:pPr>
            <w:r w:rsidRPr="00A43110">
              <w:rPr>
                <w:b/>
                <w:lang w:val="bg-BG"/>
              </w:rPr>
              <w:t>Инвестициите допустими за подпомагане в рамките на интерв</w:t>
            </w:r>
            <w:r w:rsidR="00FC0440">
              <w:rPr>
                <w:b/>
                <w:lang w:val="bg-BG"/>
              </w:rPr>
              <w:t>е</w:t>
            </w:r>
            <w:r w:rsidRPr="00A43110">
              <w:rPr>
                <w:b/>
                <w:lang w:val="bg-BG"/>
              </w:rPr>
              <w:t>н</w:t>
            </w:r>
            <w:r w:rsidR="00A43110" w:rsidRPr="00A43110">
              <w:rPr>
                <w:b/>
                <w:lang w:val="bg-BG"/>
              </w:rPr>
              <w:t xml:space="preserve">цията трябва да са свързани с развитие на услуги в </w:t>
            </w:r>
            <w:r w:rsidR="00816DB9">
              <w:rPr>
                <w:b/>
                <w:lang w:val="bg-BG"/>
              </w:rPr>
              <w:t>различни</w:t>
            </w:r>
            <w:r w:rsidR="00A43110" w:rsidRPr="00A43110">
              <w:rPr>
                <w:b/>
                <w:lang w:val="bg-BG"/>
              </w:rPr>
              <w:t xml:space="preserve"> сектори на икономиката и други</w:t>
            </w:r>
            <w:r w:rsidR="00A117A6">
              <w:rPr>
                <w:b/>
                <w:lang w:val="bg-BG"/>
              </w:rPr>
              <w:t xml:space="preserve"> производствени</w:t>
            </w:r>
            <w:r w:rsidR="00A43110" w:rsidRPr="00A43110">
              <w:rPr>
                <w:b/>
                <w:lang w:val="bg-BG"/>
              </w:rPr>
              <w:t xml:space="preserve"> неземеделски дейности, производство на продукти, които не са включени в Приложение </w:t>
            </w:r>
            <w:r w:rsidR="00A43110" w:rsidRPr="00A43110">
              <w:rPr>
                <w:b/>
                <w:lang w:val="en-US"/>
              </w:rPr>
              <w:t>I</w:t>
            </w:r>
            <w:r w:rsidR="00A43110" w:rsidRPr="00A43110">
              <w:rPr>
                <w:b/>
                <w:lang w:val="bg-BG"/>
              </w:rPr>
              <w:t xml:space="preserve"> от Договора за функциониране на Европейския съюз, </w:t>
            </w:r>
            <w:r w:rsidR="00A117A6">
              <w:rPr>
                <w:b/>
                <w:lang w:val="bg-BG"/>
              </w:rPr>
              <w:t>както и</w:t>
            </w:r>
            <w:r w:rsidR="00A43110" w:rsidRPr="00A43110">
              <w:rPr>
                <w:b/>
                <w:lang w:val="bg-BG"/>
              </w:rPr>
              <w:t xml:space="preserve"> дейности, които са насочени към развитие на занаяти</w:t>
            </w:r>
            <w:r w:rsidR="00816DB9">
              <w:rPr>
                <w:b/>
                <w:lang w:val="bg-BG"/>
              </w:rPr>
              <w:t xml:space="preserve">. </w:t>
            </w:r>
          </w:p>
          <w:p w:rsidR="00A43110" w:rsidRPr="007664F5" w:rsidRDefault="00A43110" w:rsidP="00A4311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142" w:hanging="142"/>
              <w:jc w:val="both"/>
              <w:rPr>
                <w:lang w:val="bg-BG"/>
              </w:rPr>
            </w:pPr>
            <w:r>
              <w:rPr>
                <w:lang w:val="bg-BG"/>
              </w:rPr>
              <w:t>За инвестициите включени в проектното предложение</w:t>
            </w:r>
            <w:r w:rsidRPr="007664F5">
              <w:rPr>
                <w:lang w:val="bg-BG"/>
              </w:rPr>
              <w:t>, задължително ще се изисква положително решение за оценка за въздействието върху околната среда (ОВОС), освен в случаите, когато такава не се изисква от Закона за опазване на околната среда.</w:t>
            </w:r>
            <w:r>
              <w:rPr>
                <w:lang w:val="bg-BG"/>
              </w:rPr>
              <w:t xml:space="preserve"> В случай, на </w:t>
            </w:r>
            <w:r w:rsidRPr="007664F5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инвестиции </w:t>
            </w:r>
            <w:r w:rsidRPr="007664F5">
              <w:rPr>
                <w:lang w:val="bg-BG"/>
              </w:rPr>
              <w:t xml:space="preserve">попадащи в територии от Натура 2000, </w:t>
            </w:r>
            <w:r>
              <w:rPr>
                <w:lang w:val="bg-BG"/>
              </w:rPr>
              <w:t>същите трябва да</w:t>
            </w:r>
            <w:r w:rsidRPr="007664F5">
              <w:rPr>
                <w:lang w:val="bg-BG"/>
              </w:rPr>
              <w:t xml:space="preserve"> бъдат проверявани </w:t>
            </w:r>
            <w:r>
              <w:rPr>
                <w:lang w:val="bg-BG"/>
              </w:rPr>
              <w:t xml:space="preserve">и </w:t>
            </w:r>
            <w:r w:rsidRPr="007664F5">
              <w:rPr>
                <w:lang w:val="bg-BG"/>
              </w:rPr>
              <w:t>за съответствие с разпоредбите на Закона за биологичното разнообразие и съответните подзаконови нормативни актове за неговото прилагане.</w:t>
            </w:r>
          </w:p>
          <w:p w:rsidR="00A117A6" w:rsidRDefault="00A43110" w:rsidP="00A117A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142" w:hanging="142"/>
              <w:jc w:val="both"/>
              <w:rPr>
                <w:lang w:val="bg-BG"/>
              </w:rPr>
            </w:pPr>
            <w:r w:rsidRPr="00C439ED">
              <w:rPr>
                <w:lang w:val="bg-BG"/>
              </w:rPr>
              <w:t xml:space="preserve">Материалните и нематериалните инвестиции включени в проектното предложение трябва да са в съответствие с параметрите и дейностите, обект на подпомагане и включени в разработения бизнес план. </w:t>
            </w:r>
          </w:p>
          <w:p w:rsidR="00F846BE" w:rsidRDefault="00A43110" w:rsidP="00A117A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142" w:hanging="142"/>
              <w:jc w:val="both"/>
              <w:rPr>
                <w:lang w:val="bg-BG"/>
              </w:rPr>
            </w:pPr>
            <w:r w:rsidRPr="00C439ED">
              <w:rPr>
                <w:lang w:val="bg-BG"/>
              </w:rPr>
              <w:t>Бизнес планът трябва да показва подобряване на дейността на предприятието и да доказва икономическата жизнеспособност на проекта и предприятието чрез прилагане на планираните инвестиции и дейности.</w:t>
            </w:r>
            <w:r w:rsidR="00C439ED" w:rsidRPr="00C439ED">
              <w:rPr>
                <w:lang w:val="bg-BG"/>
              </w:rPr>
              <w:t xml:space="preserve"> </w:t>
            </w:r>
          </w:p>
          <w:p w:rsidR="00C439ED" w:rsidRPr="00C439ED" w:rsidRDefault="00C439ED" w:rsidP="00C439ED">
            <w:pPr>
              <w:pStyle w:val="ListParagraph"/>
              <w:ind w:left="142"/>
              <w:jc w:val="both"/>
              <w:rPr>
                <w:lang w:val="bg-BG"/>
              </w:rPr>
            </w:pPr>
          </w:p>
          <w:p w:rsidR="00B93A3D" w:rsidRPr="00816DB9" w:rsidRDefault="00816DB9" w:rsidP="00DD2EB7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Подпомагане в рамките на интервенцията получават</w:t>
            </w:r>
            <w:r w:rsidR="005E111D" w:rsidRPr="00816DB9">
              <w:rPr>
                <w:b/>
                <w:lang w:val="bg-BG"/>
              </w:rPr>
              <w:t xml:space="preserve"> </w:t>
            </w:r>
            <w:r w:rsidR="004E0ECD" w:rsidRPr="00816DB9">
              <w:rPr>
                <w:b/>
                <w:lang w:val="bg-BG"/>
              </w:rPr>
              <w:t xml:space="preserve">земеделски стопани, </w:t>
            </w:r>
            <w:r w:rsidR="004E0ECD" w:rsidRPr="00816DB9">
              <w:rPr>
                <w:b/>
                <w:lang w:val="bg-BG"/>
              </w:rPr>
              <w:lastRenderedPageBreak/>
              <w:t>микропредприятия и физически лица.</w:t>
            </w:r>
          </w:p>
          <w:p w:rsidR="00A4061C" w:rsidRDefault="00A4061C" w:rsidP="00DD2EB7">
            <w:pPr>
              <w:jc w:val="both"/>
              <w:rPr>
                <w:lang w:val="bg-BG"/>
              </w:rPr>
            </w:pPr>
          </w:p>
          <w:p w:rsidR="00DD2EB7" w:rsidRPr="00CE1A1A" w:rsidRDefault="00DD2EB7" w:rsidP="00DD2EB7">
            <w:pPr>
              <w:jc w:val="both"/>
              <w:rPr>
                <w:b/>
                <w:lang w:val="bg-BG"/>
              </w:rPr>
            </w:pPr>
            <w:r w:rsidRPr="00CE1A1A">
              <w:rPr>
                <w:b/>
                <w:lang w:val="bg-BG"/>
              </w:rPr>
              <w:t>З</w:t>
            </w:r>
            <w:r w:rsidR="003A64ED" w:rsidRPr="00CE1A1A">
              <w:rPr>
                <w:b/>
                <w:lang w:val="bg-BG"/>
              </w:rPr>
              <w:t xml:space="preserve">емеделски </w:t>
            </w:r>
            <w:r w:rsidRPr="00CE1A1A">
              <w:rPr>
                <w:b/>
                <w:lang w:val="bg-BG"/>
              </w:rPr>
              <w:t>стопани допустими за</w:t>
            </w:r>
            <w:r w:rsidR="003A64ED" w:rsidRPr="00CE1A1A">
              <w:rPr>
                <w:b/>
                <w:lang w:val="bg-BG"/>
              </w:rPr>
              <w:t xml:space="preserve"> подпомагане трябва да отговаря</w:t>
            </w:r>
            <w:r w:rsidR="00B93A3D" w:rsidRPr="00CE1A1A">
              <w:rPr>
                <w:b/>
                <w:lang w:val="bg-BG"/>
              </w:rPr>
              <w:t>т</w:t>
            </w:r>
            <w:r w:rsidRPr="00CE1A1A">
              <w:rPr>
                <w:b/>
                <w:lang w:val="bg-BG"/>
              </w:rPr>
              <w:t xml:space="preserve"> на следните условия:</w:t>
            </w:r>
          </w:p>
          <w:p w:rsidR="00551F8B" w:rsidRPr="00CE1A1A" w:rsidRDefault="00551F8B" w:rsidP="00A379E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CE1A1A">
              <w:rPr>
                <w:lang w:val="bg-BG"/>
              </w:rPr>
              <w:t xml:space="preserve">да </w:t>
            </w:r>
            <w:r w:rsidR="00F60A18" w:rsidRPr="00CE1A1A">
              <w:rPr>
                <w:lang w:val="bg-BG"/>
              </w:rPr>
              <w:t xml:space="preserve">са </w:t>
            </w:r>
            <w:r w:rsidR="003A64ED" w:rsidRPr="00CE1A1A">
              <w:rPr>
                <w:lang w:val="bg-BG"/>
              </w:rPr>
              <w:t>регистриран</w:t>
            </w:r>
            <w:r w:rsidR="00F60A18" w:rsidRPr="00CE1A1A">
              <w:rPr>
                <w:lang w:val="bg-BG"/>
              </w:rPr>
              <w:t>и</w:t>
            </w:r>
            <w:r w:rsidRPr="00CE1A1A">
              <w:rPr>
                <w:lang w:val="bg-BG"/>
              </w:rPr>
              <w:t xml:space="preserve"> </w:t>
            </w:r>
            <w:r w:rsidRPr="00CE1A1A">
              <w:rPr>
                <w:szCs w:val="24"/>
                <w:lang w:val="bg-BG"/>
              </w:rPr>
              <w:t>като</w:t>
            </w:r>
            <w:r w:rsidRPr="00CE1A1A">
              <w:rPr>
                <w:lang w:val="bg-BG"/>
              </w:rPr>
              <w:t xml:space="preserve"> земеделски стопани по Закона за подпомагане на земеделските производители</w:t>
            </w:r>
            <w:r w:rsidR="005774EB" w:rsidRPr="00CE1A1A">
              <w:rPr>
                <w:lang w:val="bg-BG"/>
              </w:rPr>
              <w:t xml:space="preserve"> от най – малко </w:t>
            </w:r>
            <w:r w:rsidR="00275697" w:rsidRPr="00CE1A1A">
              <w:rPr>
                <w:lang w:val="bg-BG"/>
              </w:rPr>
              <w:t>12</w:t>
            </w:r>
            <w:r w:rsidR="00E62265" w:rsidRPr="00CE1A1A">
              <w:rPr>
                <w:lang w:val="bg-BG"/>
              </w:rPr>
              <w:t xml:space="preserve"> </w:t>
            </w:r>
            <w:r w:rsidR="005774EB" w:rsidRPr="00CE1A1A">
              <w:rPr>
                <w:lang w:val="bg-BG"/>
              </w:rPr>
              <w:t>месеца преди кандидатстването за подпомагане и да не са прекратявали своята дейност</w:t>
            </w:r>
            <w:r w:rsidRPr="00CE1A1A">
              <w:rPr>
                <w:lang w:val="bg-BG"/>
              </w:rPr>
              <w:t>;</w:t>
            </w:r>
          </w:p>
          <w:p w:rsidR="00C439ED" w:rsidRPr="00CE1A1A" w:rsidRDefault="00C439ED" w:rsidP="00A379E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CE1A1A">
              <w:rPr>
                <w:lang w:val="bg-BG"/>
              </w:rPr>
              <w:t xml:space="preserve">да бъдат </w:t>
            </w:r>
            <w:r w:rsidRPr="00CE1A1A">
              <w:rPr>
                <w:szCs w:val="24"/>
                <w:lang w:val="bg-BG"/>
              </w:rPr>
              <w:t>регистрирани</w:t>
            </w:r>
            <w:r w:rsidRPr="00CE1A1A">
              <w:rPr>
                <w:lang w:val="bg-BG"/>
              </w:rPr>
              <w:t xml:space="preserve"> като еднолични търговци или юридически лица по Търговския закон или Закона за кооперациите;</w:t>
            </w:r>
          </w:p>
          <w:p w:rsidR="00C439ED" w:rsidRPr="00CE1A1A" w:rsidRDefault="00C439ED" w:rsidP="00A379E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CE1A1A">
              <w:rPr>
                <w:lang w:val="bg-BG"/>
              </w:rPr>
              <w:t>да имат седалище на територията на селски район;</w:t>
            </w:r>
          </w:p>
          <w:p w:rsidR="003A64ED" w:rsidRPr="00CE1A1A" w:rsidRDefault="00551F8B" w:rsidP="00A379E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CE1A1A">
              <w:rPr>
                <w:lang w:val="bg-BG"/>
              </w:rPr>
              <w:t xml:space="preserve">икономическият размер на </w:t>
            </w:r>
            <w:r w:rsidR="003A64ED" w:rsidRPr="00CE1A1A">
              <w:rPr>
                <w:lang w:val="bg-BG"/>
              </w:rPr>
              <w:t xml:space="preserve">земеделското стопанство </w:t>
            </w:r>
            <w:r w:rsidR="00275697" w:rsidRPr="00CE1A1A">
              <w:rPr>
                <w:lang w:val="bg-BG"/>
              </w:rPr>
              <w:t xml:space="preserve">е </w:t>
            </w:r>
            <w:r w:rsidR="0065280E" w:rsidRPr="00CE1A1A">
              <w:rPr>
                <w:lang w:val="bg-BG"/>
              </w:rPr>
              <w:t>не по – малко от</w:t>
            </w:r>
            <w:r w:rsidR="00B93A3D" w:rsidRPr="00CE1A1A">
              <w:rPr>
                <w:lang w:val="bg-BG"/>
              </w:rPr>
              <w:t xml:space="preserve"> </w:t>
            </w:r>
            <w:r w:rsidR="00275697" w:rsidRPr="00CE1A1A">
              <w:rPr>
                <w:lang w:val="bg-BG"/>
              </w:rPr>
              <w:t>20</w:t>
            </w:r>
            <w:r w:rsidR="00A379EA" w:rsidRPr="00CE1A1A">
              <w:rPr>
                <w:lang w:val="bg-BG"/>
              </w:rPr>
              <w:t xml:space="preserve"> 00</w:t>
            </w:r>
            <w:r w:rsidR="00275697" w:rsidRPr="00CE1A1A">
              <w:rPr>
                <w:lang w:val="bg-BG"/>
              </w:rPr>
              <w:t>1</w:t>
            </w:r>
            <w:r w:rsidRPr="00CE1A1A">
              <w:rPr>
                <w:lang w:val="bg-BG"/>
              </w:rPr>
              <w:t xml:space="preserve"> </w:t>
            </w:r>
            <w:r w:rsidR="00A379EA" w:rsidRPr="00CE1A1A">
              <w:rPr>
                <w:lang w:val="bg-BG"/>
              </w:rPr>
              <w:t xml:space="preserve">евро </w:t>
            </w:r>
            <w:r w:rsidR="003A64ED" w:rsidRPr="00CE1A1A">
              <w:rPr>
                <w:lang w:val="bg-BG"/>
              </w:rPr>
              <w:t>стандартен производствен обем /</w:t>
            </w:r>
            <w:r w:rsidRPr="00CE1A1A">
              <w:rPr>
                <w:lang w:val="bg-BG"/>
              </w:rPr>
              <w:t>СПО</w:t>
            </w:r>
            <w:r w:rsidR="003A64ED" w:rsidRPr="00CE1A1A">
              <w:rPr>
                <w:lang w:val="bg-BG"/>
              </w:rPr>
              <w:t>/;</w:t>
            </w:r>
          </w:p>
          <w:p w:rsidR="00A4061C" w:rsidRDefault="00A4061C" w:rsidP="00C439ED">
            <w:pPr>
              <w:pStyle w:val="ListParagraph"/>
              <w:jc w:val="both"/>
              <w:rPr>
                <w:lang w:val="bg-BG"/>
              </w:rPr>
            </w:pPr>
          </w:p>
          <w:p w:rsidR="00A379EA" w:rsidRPr="00765CD5" w:rsidRDefault="00A379EA" w:rsidP="00A379EA">
            <w:pPr>
              <w:jc w:val="both"/>
              <w:rPr>
                <w:lang w:val="bg-BG"/>
              </w:rPr>
            </w:pPr>
            <w:r w:rsidRPr="00CE1A1A">
              <w:rPr>
                <w:lang w:val="bg-BG"/>
              </w:rPr>
              <w:t>В случай, на подкрепа за инвестиции в рамките на интервенцията за земеделски стопани попадащи в обхвата на допустимите за подкрепа по интервенция „Подпомагане развитието на малки земеделски стопанства“</w:t>
            </w:r>
            <w:r w:rsidRPr="00CE1A1A">
              <w:t xml:space="preserve"> </w:t>
            </w:r>
            <w:r w:rsidRPr="00CE1A1A">
              <w:rPr>
                <w:lang w:val="bg-BG"/>
              </w:rPr>
              <w:t xml:space="preserve">икономическия размер на земеделското стопанството кандидат измерен в СПО може да бъде в границите от </w:t>
            </w:r>
            <w:r w:rsidR="00ED44DC" w:rsidRPr="00CE1A1A">
              <w:rPr>
                <w:lang w:val="bg-BG"/>
              </w:rPr>
              <w:t>5</w:t>
            </w:r>
            <w:r w:rsidR="00ED44DC" w:rsidRPr="00CE1A1A">
              <w:rPr>
                <w:lang w:val="en-US"/>
              </w:rPr>
              <w:t xml:space="preserve"> </w:t>
            </w:r>
            <w:r w:rsidRPr="00CE1A1A">
              <w:rPr>
                <w:lang w:val="en-US"/>
              </w:rPr>
              <w:t>000</w:t>
            </w:r>
            <w:r w:rsidRPr="00CE1A1A">
              <w:rPr>
                <w:lang w:val="bg-BG"/>
              </w:rPr>
              <w:t xml:space="preserve"> до </w:t>
            </w:r>
            <w:r w:rsidR="00275697" w:rsidRPr="00CE1A1A">
              <w:rPr>
                <w:lang w:val="bg-BG"/>
              </w:rPr>
              <w:t>20 000</w:t>
            </w:r>
            <w:r w:rsidRPr="00CE1A1A">
              <w:rPr>
                <w:lang w:val="bg-BG"/>
              </w:rPr>
              <w:t xml:space="preserve"> евро.</w:t>
            </w:r>
          </w:p>
          <w:p w:rsidR="00A379EA" w:rsidRPr="004E0ECD" w:rsidRDefault="00A379EA" w:rsidP="00C439ED">
            <w:pPr>
              <w:pStyle w:val="ListParagraph"/>
              <w:jc w:val="both"/>
              <w:rPr>
                <w:lang w:val="bg-BG"/>
              </w:rPr>
            </w:pPr>
          </w:p>
          <w:p w:rsidR="00A4061C" w:rsidRPr="00A117A6" w:rsidRDefault="00A117A6" w:rsidP="004E0EC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Микропредприятия</w:t>
            </w:r>
            <w:r w:rsidR="00A4061C" w:rsidRPr="00A117A6">
              <w:rPr>
                <w:b/>
                <w:lang w:val="bg-BG"/>
              </w:rPr>
              <w:t xml:space="preserve"> </w:t>
            </w:r>
            <w:r w:rsidR="004E0ECD" w:rsidRPr="00A117A6">
              <w:rPr>
                <w:b/>
                <w:lang w:val="bg-BG"/>
              </w:rPr>
              <w:t xml:space="preserve"> допустими за подпомагане трябва да </w:t>
            </w:r>
            <w:r w:rsidR="00A4061C" w:rsidRPr="00A117A6">
              <w:rPr>
                <w:b/>
                <w:lang w:val="bg-BG"/>
              </w:rPr>
              <w:t xml:space="preserve">отговарят на следните условия: </w:t>
            </w:r>
          </w:p>
          <w:p w:rsidR="00A4061C" w:rsidRDefault="00816DB9" w:rsidP="00A379E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да </w:t>
            </w:r>
            <w:r w:rsidR="004E0ECD" w:rsidRPr="00A4061C">
              <w:rPr>
                <w:lang w:val="bg-BG"/>
              </w:rPr>
              <w:t>бъдат регистрирани като еднолични търговци или юридически лица по Търговския закон или Закона за кооперациите</w:t>
            </w:r>
            <w:r w:rsidR="00A4061C">
              <w:rPr>
                <w:lang w:val="bg-BG"/>
              </w:rPr>
              <w:t>;</w:t>
            </w:r>
          </w:p>
          <w:p w:rsidR="005774EB" w:rsidRDefault="00816DB9" w:rsidP="00A379E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>
              <w:rPr>
                <w:lang w:val="bg-BG"/>
              </w:rPr>
              <w:t>да имат седалище</w:t>
            </w:r>
            <w:r w:rsidR="005774EB" w:rsidRPr="005774EB">
              <w:rPr>
                <w:lang w:val="bg-BG"/>
              </w:rPr>
              <w:t xml:space="preserve"> на територията на селски район</w:t>
            </w:r>
          </w:p>
          <w:p w:rsidR="00A4061C" w:rsidRDefault="00A4061C" w:rsidP="00A4061C">
            <w:pPr>
              <w:jc w:val="both"/>
              <w:rPr>
                <w:lang w:val="bg-BG"/>
              </w:rPr>
            </w:pPr>
          </w:p>
          <w:p w:rsidR="004E0ECD" w:rsidRPr="00A117A6" w:rsidRDefault="00C07FFB" w:rsidP="004E0ECD">
            <w:pPr>
              <w:jc w:val="both"/>
              <w:rPr>
                <w:b/>
                <w:lang w:val="bg-BG"/>
              </w:rPr>
            </w:pPr>
            <w:r w:rsidRPr="00A117A6">
              <w:rPr>
                <w:b/>
                <w:lang w:val="bg-BG"/>
              </w:rPr>
              <w:t>Физическите лица допустими за подпомагане трябва да отговарят на следните условия</w:t>
            </w:r>
            <w:r w:rsidR="005774EB" w:rsidRPr="00A117A6">
              <w:rPr>
                <w:b/>
                <w:lang w:val="bg-BG"/>
              </w:rPr>
              <w:t>:</w:t>
            </w:r>
          </w:p>
          <w:p w:rsidR="00A4061C" w:rsidRPr="00C07FFB" w:rsidRDefault="00C07FFB" w:rsidP="00A379E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C07FFB">
              <w:rPr>
                <w:lang w:val="bg-BG"/>
              </w:rPr>
              <w:t>д</w:t>
            </w:r>
            <w:r w:rsidR="00A4061C" w:rsidRPr="00C07FFB">
              <w:rPr>
                <w:lang w:val="bg-BG"/>
              </w:rPr>
              <w:t xml:space="preserve">а бъдат </w:t>
            </w:r>
            <w:r w:rsidR="004E0ECD" w:rsidRPr="00C07FFB">
              <w:rPr>
                <w:lang w:val="bg-BG"/>
              </w:rPr>
              <w:t xml:space="preserve">регистрирани по Закона за занаятите като упражняващи занаят/и след вписване в регистър БУЛСТАТ по реда на </w:t>
            </w:r>
            <w:r>
              <w:rPr>
                <w:lang w:val="bg-BG"/>
              </w:rPr>
              <w:t>Закона за регистър БУЛСТАТ;</w:t>
            </w:r>
          </w:p>
          <w:p w:rsidR="004E0ECD" w:rsidRDefault="004E0ECD" w:rsidP="00A379E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C07FFB">
              <w:rPr>
                <w:lang w:val="bg-BG"/>
              </w:rPr>
              <w:t>да отговарят на определението за микропредпр</w:t>
            </w:r>
            <w:r w:rsidR="00A117A6">
              <w:rPr>
                <w:lang w:val="bg-BG"/>
              </w:rPr>
              <w:t>иятие</w:t>
            </w:r>
            <w:r w:rsidR="00A4061C" w:rsidRPr="00C07FFB">
              <w:rPr>
                <w:lang w:val="bg-BG"/>
              </w:rPr>
              <w:t>, съгласно дефиницията на</w:t>
            </w:r>
            <w:r w:rsidRPr="00C07FFB">
              <w:rPr>
                <w:lang w:val="bg-BG"/>
              </w:rPr>
              <w:t xml:space="preserve"> ЗМСП</w:t>
            </w:r>
            <w:r w:rsidR="00C07FFB">
              <w:rPr>
                <w:lang w:val="bg-BG"/>
              </w:rPr>
              <w:t>;</w:t>
            </w:r>
          </w:p>
          <w:p w:rsidR="00C07FFB" w:rsidRDefault="005774EB" w:rsidP="00A379E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5774EB">
              <w:rPr>
                <w:lang w:val="bg-BG"/>
              </w:rPr>
              <w:t>да имат постоянен адрес на територията на селски район</w:t>
            </w:r>
            <w:r w:rsidR="00EB3340">
              <w:rPr>
                <w:lang w:val="bg-BG"/>
              </w:rPr>
              <w:t>;</w:t>
            </w:r>
          </w:p>
          <w:p w:rsidR="00A117A6" w:rsidRDefault="00A117A6" w:rsidP="00A117A6">
            <w:pPr>
              <w:jc w:val="both"/>
              <w:rPr>
                <w:lang w:val="bg-BG"/>
              </w:rPr>
            </w:pPr>
          </w:p>
          <w:p w:rsidR="00EB3340" w:rsidRPr="00A117A6" w:rsidRDefault="00A117A6" w:rsidP="00A117A6">
            <w:pPr>
              <w:jc w:val="both"/>
              <w:rPr>
                <w:b/>
                <w:lang w:val="bg-BG"/>
              </w:rPr>
            </w:pPr>
            <w:r w:rsidRPr="00A117A6">
              <w:rPr>
                <w:b/>
                <w:lang w:val="bg-BG"/>
              </w:rPr>
              <w:t>В</w:t>
            </w:r>
            <w:r w:rsidR="00EB3340" w:rsidRPr="00A117A6">
              <w:rPr>
                <w:b/>
                <w:lang w:val="bg-BG"/>
              </w:rPr>
              <w:t xml:space="preserve"> </w:t>
            </w:r>
            <w:r w:rsidRPr="00A117A6">
              <w:rPr>
                <w:b/>
                <w:lang w:val="bg-BG"/>
              </w:rPr>
              <w:t>обхвата</w:t>
            </w:r>
            <w:r w:rsidR="00EB3340" w:rsidRPr="00A117A6">
              <w:rPr>
                <w:b/>
                <w:lang w:val="bg-BG"/>
              </w:rPr>
              <w:t xml:space="preserve"> на интервенцията физическите лица са допустими за подпомагане само за </w:t>
            </w:r>
            <w:r w:rsidR="00EA202D" w:rsidRPr="00A117A6">
              <w:rPr>
                <w:b/>
                <w:lang w:val="bg-BG"/>
              </w:rPr>
              <w:t>инвестиции в неземеделски дейности, които са насочени към развитие на занаяти;</w:t>
            </w:r>
          </w:p>
          <w:p w:rsidR="004E0ECD" w:rsidRDefault="004E0ECD" w:rsidP="004E0ECD">
            <w:pPr>
              <w:jc w:val="both"/>
              <w:rPr>
                <w:lang w:val="bg-BG"/>
              </w:rPr>
            </w:pPr>
          </w:p>
          <w:p w:rsidR="001915F7" w:rsidRPr="001915F7" w:rsidRDefault="001915F7" w:rsidP="001915F7">
            <w:pPr>
              <w:jc w:val="both"/>
              <w:rPr>
                <w:b/>
                <w:lang w:val="bg-BG"/>
              </w:rPr>
            </w:pPr>
            <w:r w:rsidRPr="001915F7">
              <w:rPr>
                <w:b/>
                <w:lang w:val="bg-BG"/>
              </w:rPr>
              <w:t>В съответствие с чл. 68, §3 от Регламент ХХХХ/20ХХ не са допустимите за подпомагане инвестиции и категориите разходи, като включват:</w:t>
            </w:r>
          </w:p>
          <w:p w:rsidR="001915F7" w:rsidRPr="001915F7" w:rsidRDefault="001915F7" w:rsidP="001915F7">
            <w:pPr>
              <w:numPr>
                <w:ilvl w:val="0"/>
                <w:numId w:val="13"/>
              </w:numPr>
              <w:ind w:left="426"/>
              <w:jc w:val="both"/>
              <w:rPr>
                <w:lang w:val="bg-BG"/>
              </w:rPr>
            </w:pPr>
            <w:r w:rsidRPr="001915F7">
              <w:rPr>
                <w:lang w:val="bg-BG"/>
              </w:rPr>
              <w:t>закупуване на права за получаване на плащане;</w:t>
            </w:r>
          </w:p>
          <w:p w:rsidR="001915F7" w:rsidRPr="001915F7" w:rsidRDefault="001915F7" w:rsidP="001915F7">
            <w:pPr>
              <w:numPr>
                <w:ilvl w:val="0"/>
                <w:numId w:val="13"/>
              </w:numPr>
              <w:ind w:left="426"/>
              <w:jc w:val="both"/>
              <w:rPr>
                <w:lang w:val="bg-BG"/>
              </w:rPr>
            </w:pPr>
            <w:r w:rsidRPr="001915F7">
              <w:rPr>
                <w:lang w:val="bg-BG"/>
              </w:rPr>
              <w:t>закупуване на земя, с изключение на закупуване на земя за опазване на околната среда или закупена земя от млади земеделски стопани посредством използването на финансови инструменти;</w:t>
            </w:r>
          </w:p>
          <w:p w:rsidR="001915F7" w:rsidRPr="001915F7" w:rsidRDefault="001915F7" w:rsidP="001915F7">
            <w:pPr>
              <w:numPr>
                <w:ilvl w:val="0"/>
                <w:numId w:val="13"/>
              </w:numPr>
              <w:ind w:left="426"/>
              <w:jc w:val="both"/>
              <w:rPr>
                <w:lang w:val="bg-BG"/>
              </w:rPr>
            </w:pPr>
            <w:r w:rsidRPr="001915F7">
              <w:rPr>
                <w:lang w:val="bg-BG"/>
              </w:rPr>
              <w:t>закупуване на животни, едногодишни растения и тяхното засаждане, различно от закупуване с цел възстановяване на земеделския или горския потенциал след природни бедствия и катастрофични събития;</w:t>
            </w:r>
          </w:p>
          <w:p w:rsidR="001915F7" w:rsidRPr="001915F7" w:rsidRDefault="001915F7" w:rsidP="001915F7">
            <w:pPr>
              <w:numPr>
                <w:ilvl w:val="0"/>
                <w:numId w:val="13"/>
              </w:numPr>
              <w:ind w:left="426"/>
              <w:jc w:val="both"/>
              <w:rPr>
                <w:lang w:val="bg-BG"/>
              </w:rPr>
            </w:pPr>
            <w:r w:rsidRPr="001915F7">
              <w:rPr>
                <w:lang w:val="bg-BG"/>
              </w:rPr>
              <w:t>лихви по дългове, с изключение свързани с безвъзмездни средства, отпуснати под формата на лихвени субсидии или субсидии за гаранционни такси;</w:t>
            </w:r>
          </w:p>
          <w:p w:rsidR="001915F7" w:rsidRPr="001915F7" w:rsidRDefault="001915F7" w:rsidP="001915F7">
            <w:pPr>
              <w:numPr>
                <w:ilvl w:val="0"/>
                <w:numId w:val="13"/>
              </w:numPr>
              <w:ind w:left="426"/>
              <w:jc w:val="both"/>
              <w:rPr>
                <w:lang w:val="bg-BG"/>
              </w:rPr>
            </w:pPr>
            <w:r w:rsidRPr="001915F7">
              <w:rPr>
                <w:lang w:val="bg-BG"/>
              </w:rPr>
              <w:t>инвестиции в напоителни системи, които не са съвместими с постигането на добро състояние на водните обекти, както е определено в член 4, параграф 1 от Директива 2000/60/ЕО, включително разрастване на напоителните системи, което засяга водни басейни, чийто статус е определен като незадоволителен в съответния план за управление на речния басейн;</w:t>
            </w:r>
          </w:p>
          <w:p w:rsidR="001915F7" w:rsidRDefault="001915F7" w:rsidP="001915F7">
            <w:pPr>
              <w:numPr>
                <w:ilvl w:val="0"/>
                <w:numId w:val="13"/>
              </w:numPr>
              <w:ind w:left="426"/>
              <w:jc w:val="both"/>
              <w:rPr>
                <w:lang w:val="bg-BG"/>
              </w:rPr>
            </w:pPr>
            <w:r w:rsidRPr="001915F7">
              <w:rPr>
                <w:lang w:val="bg-BG"/>
              </w:rPr>
              <w:t>инвестиции в големи инфраструктури, които не са част от стратегиите за местно развитие;</w:t>
            </w:r>
          </w:p>
          <w:p w:rsidR="00C07FFB" w:rsidRPr="00CE1A1A" w:rsidRDefault="001915F7" w:rsidP="001915F7">
            <w:pPr>
              <w:numPr>
                <w:ilvl w:val="0"/>
                <w:numId w:val="13"/>
              </w:numPr>
              <w:ind w:left="426"/>
              <w:jc w:val="both"/>
              <w:rPr>
                <w:lang w:val="bg-BG"/>
              </w:rPr>
            </w:pPr>
            <w:r w:rsidRPr="00CE1A1A">
              <w:rPr>
                <w:lang w:val="bg-BG"/>
              </w:rPr>
              <w:t>инвестиции в залесяване, които не са съвместими с целите, свързани с климата и околната среда, в съответствие с принципите за устойчиво управление на горите, разработени в общоевропейските насоки за залесяване и повторно залесяване</w:t>
            </w:r>
            <w:r w:rsidR="00F846BE" w:rsidRPr="00CE1A1A">
              <w:rPr>
                <w:lang w:val="bg-BG"/>
              </w:rPr>
              <w:t>.</w:t>
            </w:r>
          </w:p>
          <w:p w:rsidR="003F2F4E" w:rsidRPr="00CE1A1A" w:rsidRDefault="003F2F4E" w:rsidP="001915F7">
            <w:pPr>
              <w:numPr>
                <w:ilvl w:val="0"/>
                <w:numId w:val="13"/>
              </w:numPr>
              <w:ind w:left="426"/>
              <w:jc w:val="both"/>
              <w:rPr>
                <w:lang w:val="bg-BG"/>
              </w:rPr>
            </w:pPr>
            <w:r w:rsidRPr="00CE1A1A">
              <w:rPr>
                <w:lang w:val="bg-BG"/>
              </w:rPr>
              <w:t>туристически дейности свързани с изграждане/реконструкция на местна за настаняване;</w:t>
            </w:r>
          </w:p>
          <w:p w:rsidR="00083B60" w:rsidRPr="00A117A6" w:rsidRDefault="00083B60" w:rsidP="00DE7C1B">
            <w:pPr>
              <w:jc w:val="both"/>
              <w:rPr>
                <w:lang w:val="bg-BG"/>
              </w:rPr>
            </w:pPr>
          </w:p>
        </w:tc>
      </w:tr>
    </w:tbl>
    <w:p w:rsidR="005F556B" w:rsidRDefault="005F556B" w:rsidP="005F556B">
      <w:pPr>
        <w:spacing w:line="240" w:lineRule="auto"/>
        <w:jc w:val="both"/>
        <w:rPr>
          <w:b/>
        </w:rPr>
      </w:pPr>
    </w:p>
    <w:p w:rsidR="00B92EB3" w:rsidRPr="0046113A" w:rsidRDefault="00B92EB3" w:rsidP="0046113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bg-BG"/>
        </w:rPr>
      </w:pPr>
      <w:r w:rsidRPr="0046113A">
        <w:rPr>
          <w:b/>
          <w:lang w:val="bg-BG"/>
        </w:rPr>
        <w:lastRenderedPageBreak/>
        <w:t>Съвместимост на интервенцията със споразумението на СТО за селското стопанство:</w:t>
      </w:r>
    </w:p>
    <w:p w:rsidR="00B92EB3" w:rsidRDefault="00B92EB3" w:rsidP="005F556B">
      <w:pPr>
        <w:spacing w:line="240" w:lineRule="auto"/>
        <w:jc w:val="both"/>
        <w:rPr>
          <w:i/>
          <w:lang w:val="bg-BG"/>
        </w:rPr>
      </w:pPr>
      <w:r>
        <w:rPr>
          <w:i/>
          <w:lang w:val="bg-BG"/>
        </w:rPr>
        <w:t>/</w:t>
      </w:r>
      <w:r w:rsidRPr="00B92EB3">
        <w:rPr>
          <w:i/>
          <w:lang w:val="bg-BG"/>
        </w:rPr>
        <w:t xml:space="preserve">За всяка интервенция, която </w:t>
      </w:r>
      <w:r w:rsidRPr="00B92EB3">
        <w:rPr>
          <w:i/>
          <w:u w:val="single"/>
          <w:lang w:val="bg-BG"/>
        </w:rPr>
        <w:t>се</w:t>
      </w:r>
      <w:r w:rsidRPr="00B92EB3">
        <w:rPr>
          <w:i/>
          <w:lang w:val="bg-BG"/>
        </w:rPr>
        <w:t xml:space="preserve"> основава на видовете интервенции, изброени в приложение II към регламент</w:t>
      </w:r>
      <w:r>
        <w:rPr>
          <w:i/>
          <w:lang w:val="bg-BG"/>
        </w:rPr>
        <w:t>а за Стратегическите планове по ОСП</w:t>
      </w:r>
      <w:r w:rsidRPr="00B92EB3">
        <w:rPr>
          <w:i/>
          <w:lang w:val="bg-BG"/>
        </w:rPr>
        <w:t xml:space="preserve">, </w:t>
      </w:r>
      <w:r>
        <w:rPr>
          <w:i/>
          <w:lang w:val="bg-BG"/>
        </w:rPr>
        <w:t xml:space="preserve">следва да се опише </w:t>
      </w:r>
      <w:r w:rsidRPr="00B92EB3">
        <w:rPr>
          <w:i/>
          <w:lang w:val="bg-BG"/>
        </w:rPr>
        <w:t>как тя спазва съответните разпоредби на приложение 2 към Споразумението на СТО за селското</w:t>
      </w:r>
      <w:r>
        <w:rPr>
          <w:i/>
          <w:lang w:val="bg-BG"/>
        </w:rPr>
        <w:t xml:space="preserve"> стопанство (както е посочено в член 10</w:t>
      </w:r>
      <w:r w:rsidRPr="00B92EB3">
        <w:rPr>
          <w:i/>
          <w:lang w:val="bg-BG"/>
        </w:rPr>
        <w:t xml:space="preserve"> и в приложение II към </w:t>
      </w:r>
      <w:r>
        <w:rPr>
          <w:i/>
          <w:lang w:val="bg-BG"/>
        </w:rPr>
        <w:t>същия</w:t>
      </w:r>
      <w:r w:rsidRPr="00B92EB3">
        <w:rPr>
          <w:i/>
          <w:lang w:val="bg-BG"/>
        </w:rPr>
        <w:t xml:space="preserve"> регламент</w:t>
      </w:r>
      <w:r>
        <w:rPr>
          <w:i/>
          <w:lang w:val="bg-BG"/>
        </w:rPr>
        <w:t>).</w:t>
      </w:r>
      <w:r w:rsidRPr="00B92EB3">
        <w:rPr>
          <w:i/>
          <w:lang w:val="bg-BG"/>
        </w:rPr>
        <w:t xml:space="preserve"> За всяка интервенция, която </w:t>
      </w:r>
      <w:r w:rsidRPr="00B92EB3">
        <w:rPr>
          <w:i/>
          <w:u w:val="single"/>
          <w:lang w:val="bg-BG"/>
        </w:rPr>
        <w:t>не се</w:t>
      </w:r>
      <w:r w:rsidRPr="00B92EB3">
        <w:rPr>
          <w:i/>
          <w:lang w:val="bg-BG"/>
        </w:rPr>
        <w:t xml:space="preserve"> основава на видовете интервенции, изброени в приложение II към настоящия регламент, как спазва съответните разпоредби на член 6.5 или приложение 2 към Споразумението на СТО за селското стопанство</w:t>
      </w:r>
      <w:r>
        <w:rPr>
          <w:i/>
          <w:lang w:val="bg-BG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2EB3" w:rsidRPr="00027128" w:rsidTr="00B92EB3">
        <w:tc>
          <w:tcPr>
            <w:tcW w:w="9242" w:type="dxa"/>
          </w:tcPr>
          <w:p w:rsidR="00AA069F" w:rsidRPr="006D2D77" w:rsidRDefault="00C948C0" w:rsidP="006D2D77">
            <w:pPr>
              <w:jc w:val="both"/>
              <w:rPr>
                <w:lang w:val="bg-BG"/>
              </w:rPr>
            </w:pPr>
            <w:r w:rsidRPr="001C066B">
              <w:rPr>
                <w:lang w:val="bg-BG"/>
              </w:rPr>
              <w:t>Интервенцията е включена в приложение II на Регламент ХХХХ/202Х и е в съответствие с</w:t>
            </w:r>
            <w:r w:rsidRPr="001C066B">
              <w:t xml:space="preserve"> </w:t>
            </w:r>
            <w:r w:rsidRPr="001C066B">
              <w:rPr>
                <w:lang w:val="bg-BG"/>
              </w:rPr>
              <w:t>приложение 2 към Споразумението на СТО за селското стопанство  – Предстои да се разработи тази част.</w:t>
            </w:r>
          </w:p>
        </w:tc>
      </w:tr>
    </w:tbl>
    <w:p w:rsidR="00B92EB3" w:rsidRPr="00B92EB3" w:rsidRDefault="00B92EB3" w:rsidP="005F556B">
      <w:pPr>
        <w:spacing w:line="240" w:lineRule="auto"/>
        <w:jc w:val="both"/>
        <w:rPr>
          <w:i/>
          <w:lang w:val="bg-BG"/>
        </w:rPr>
      </w:pPr>
    </w:p>
    <w:p w:rsidR="005F556B" w:rsidRPr="0046113A" w:rsidRDefault="005F556B" w:rsidP="0046113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bg-BG"/>
        </w:rPr>
      </w:pPr>
      <w:r w:rsidRPr="0046113A">
        <w:rPr>
          <w:b/>
          <w:lang w:val="bg-BG"/>
        </w:rPr>
        <w:t xml:space="preserve">Нива на подпомагане / премии / методи за изчисляване (включително диференциации за групи от територии, където е приложимо) и, когато е приложимо, кратко обяснение защо посочените са подходящи за постигане на целите, </w:t>
      </w:r>
      <w:r w:rsidR="00950149" w:rsidRPr="0046113A">
        <w:rPr>
          <w:b/>
          <w:lang w:val="bg-BG"/>
        </w:rPr>
        <w:t>(</w:t>
      </w:r>
      <w:r w:rsidRPr="0046113A">
        <w:rPr>
          <w:b/>
          <w:lang w:val="bg-BG"/>
        </w:rPr>
        <w:t>също и по отношение на базовите изисквания</w:t>
      </w:r>
      <w:r w:rsidR="00950149" w:rsidRPr="0046113A">
        <w:rPr>
          <w:b/>
          <w:lang w:val="bg-BG"/>
        </w:rPr>
        <w:t>)</w:t>
      </w:r>
      <w:r w:rsidRPr="0046113A">
        <w:rPr>
          <w:b/>
          <w:lang w:val="bg-BG"/>
        </w:rPr>
        <w:t>:</w:t>
      </w:r>
    </w:p>
    <w:p w:rsidR="00BC2D56" w:rsidRPr="00BC2D56" w:rsidRDefault="00BC2D56" w:rsidP="00BC2D56">
      <w:pPr>
        <w:spacing w:after="0" w:line="240" w:lineRule="auto"/>
        <w:jc w:val="both"/>
        <w:rPr>
          <w:i/>
          <w:lang w:val="bg-BG"/>
        </w:rPr>
      </w:pPr>
      <w:r w:rsidRPr="00BC2D56">
        <w:rPr>
          <w:i/>
          <w:lang w:val="bg-BG"/>
        </w:rPr>
        <w:t>/</w:t>
      </w:r>
      <w:r w:rsidRPr="00BC2D56">
        <w:rPr>
          <w:b/>
          <w:i/>
          <w:lang w:val="bg-BG"/>
        </w:rPr>
        <w:t>информацията следва да включва:</w:t>
      </w:r>
      <w:r w:rsidRPr="00BC2D56">
        <w:rPr>
          <w:i/>
          <w:lang w:val="bg-BG"/>
        </w:rPr>
        <w:t xml:space="preserve"> формата и степента на подкрепа; методът за изчисляване на единичните суми на подпомагане и неговото сертифициране в съответствие с член 76; различните единни или средни единични суми на помощта</w:t>
      </w:r>
      <w:r w:rsidR="00950149">
        <w:rPr>
          <w:i/>
          <w:lang w:val="bg-BG"/>
        </w:rPr>
        <w:t xml:space="preserve"> в рамките на тази интервенция. /</w:t>
      </w:r>
    </w:p>
    <w:p w:rsidR="00BC2D56" w:rsidRDefault="00BC2D56" w:rsidP="005F556B">
      <w:pPr>
        <w:spacing w:line="240" w:lineRule="auto"/>
        <w:jc w:val="both"/>
        <w:rPr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556B" w:rsidRPr="00027128" w:rsidTr="005F556B">
        <w:tc>
          <w:tcPr>
            <w:tcW w:w="9242" w:type="dxa"/>
          </w:tcPr>
          <w:p w:rsidR="00184905" w:rsidRDefault="009B4D6D" w:rsidP="00907900">
            <w:pPr>
              <w:jc w:val="both"/>
              <w:rPr>
                <w:b/>
                <w:lang w:val="bg-BG"/>
              </w:rPr>
            </w:pPr>
            <w:r w:rsidRPr="00907900">
              <w:rPr>
                <w:b/>
                <w:lang w:val="bg-BG"/>
              </w:rPr>
              <w:t>Подпомагането</w:t>
            </w:r>
            <w:r w:rsidR="00184905" w:rsidRPr="00907900">
              <w:rPr>
                <w:b/>
                <w:lang w:val="bg-BG"/>
              </w:rPr>
              <w:t xml:space="preserve"> се предоставя под формата на възстановяване на действително направени</w:t>
            </w:r>
            <w:r w:rsidRPr="00907900">
              <w:rPr>
                <w:b/>
                <w:lang w:val="bg-BG"/>
              </w:rPr>
              <w:t xml:space="preserve"> от бенефицера допустими разходи</w:t>
            </w:r>
            <w:r w:rsidR="00184905" w:rsidRPr="00907900">
              <w:rPr>
                <w:b/>
                <w:lang w:val="bg-BG"/>
              </w:rPr>
              <w:t xml:space="preserve"> </w:t>
            </w:r>
          </w:p>
          <w:p w:rsidR="00907900" w:rsidRPr="00907900" w:rsidRDefault="00907900" w:rsidP="00907900">
            <w:pPr>
              <w:jc w:val="both"/>
              <w:rPr>
                <w:b/>
                <w:lang w:val="bg-BG"/>
              </w:rPr>
            </w:pPr>
          </w:p>
          <w:p w:rsidR="009B4D6D" w:rsidRPr="00CE1A1A" w:rsidRDefault="009B4D6D" w:rsidP="00A379E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szCs w:val="24"/>
                <w:lang w:val="bg-BG"/>
              </w:rPr>
            </w:pPr>
            <w:r w:rsidRPr="00CE1A1A">
              <w:rPr>
                <w:szCs w:val="24"/>
                <w:lang w:val="bg-BG"/>
              </w:rPr>
              <w:t xml:space="preserve">Финансовата помощ е в размер </w:t>
            </w:r>
            <w:r w:rsidR="00907900" w:rsidRPr="00CE1A1A">
              <w:rPr>
                <w:szCs w:val="24"/>
                <w:lang w:val="bg-BG"/>
              </w:rPr>
              <w:t>до</w:t>
            </w:r>
            <w:r w:rsidRPr="00CE1A1A">
              <w:rPr>
                <w:szCs w:val="24"/>
                <w:lang w:val="bg-BG"/>
              </w:rPr>
              <w:t xml:space="preserve"> </w:t>
            </w:r>
            <w:r w:rsidR="00275697" w:rsidRPr="00CE1A1A">
              <w:rPr>
                <w:szCs w:val="24"/>
                <w:lang w:val="bg-BG"/>
              </w:rPr>
              <w:t>50</w:t>
            </w:r>
            <w:r w:rsidRPr="00CE1A1A">
              <w:rPr>
                <w:szCs w:val="24"/>
                <w:lang w:val="bg-BG"/>
              </w:rPr>
              <w:t xml:space="preserve"> % от общия размер на допустимите за финансово подпомагане разходи;</w:t>
            </w:r>
          </w:p>
          <w:p w:rsidR="00907900" w:rsidRPr="00CE1A1A" w:rsidRDefault="009B4D6D" w:rsidP="00A379E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szCs w:val="24"/>
                <w:lang w:val="bg-BG"/>
              </w:rPr>
            </w:pPr>
            <w:r w:rsidRPr="00CE1A1A">
              <w:rPr>
                <w:szCs w:val="24"/>
                <w:lang w:val="bg-BG"/>
              </w:rPr>
              <w:t xml:space="preserve">Минималният размер на допустимите разходи за едно проектно предложение е </w:t>
            </w:r>
            <w:r w:rsidR="00A379EA" w:rsidRPr="00CE1A1A">
              <w:rPr>
                <w:szCs w:val="24"/>
                <w:lang w:val="bg-BG"/>
              </w:rPr>
              <w:t>15 000</w:t>
            </w:r>
            <w:r w:rsidRPr="00CE1A1A">
              <w:rPr>
                <w:szCs w:val="24"/>
                <w:lang w:val="bg-BG"/>
              </w:rPr>
              <w:t xml:space="preserve"> евро.</w:t>
            </w:r>
          </w:p>
          <w:p w:rsidR="00907900" w:rsidRPr="00CE1A1A" w:rsidRDefault="009B4D6D" w:rsidP="00A379E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szCs w:val="24"/>
                <w:lang w:val="bg-BG"/>
              </w:rPr>
            </w:pPr>
            <w:r w:rsidRPr="00CE1A1A">
              <w:rPr>
                <w:szCs w:val="24"/>
                <w:lang w:val="bg-BG"/>
              </w:rPr>
              <w:t xml:space="preserve">Максималният размер на допустимите разходи за един кандидат за периода на прилагане на интервенцията е </w:t>
            </w:r>
            <w:r w:rsidR="00283020" w:rsidRPr="00CE1A1A">
              <w:rPr>
                <w:szCs w:val="24"/>
                <w:lang w:val="bg-BG"/>
              </w:rPr>
              <w:t>до</w:t>
            </w:r>
            <w:r w:rsidRPr="00CE1A1A">
              <w:rPr>
                <w:szCs w:val="24"/>
                <w:lang w:val="bg-BG"/>
              </w:rPr>
              <w:t xml:space="preserve"> </w:t>
            </w:r>
            <w:r w:rsidR="00953810" w:rsidRPr="00CE1A1A">
              <w:rPr>
                <w:szCs w:val="24"/>
                <w:lang w:val="bg-BG"/>
              </w:rPr>
              <w:t>2</w:t>
            </w:r>
            <w:r w:rsidR="00A379EA" w:rsidRPr="00CE1A1A">
              <w:rPr>
                <w:szCs w:val="24"/>
                <w:lang w:val="bg-BG"/>
              </w:rPr>
              <w:t>00 000</w:t>
            </w:r>
            <w:r w:rsidRPr="00CE1A1A">
              <w:rPr>
                <w:szCs w:val="24"/>
                <w:lang w:val="bg-BG"/>
              </w:rPr>
              <w:t xml:space="preserve"> евро, а максималният размер на допустимите разходи за един проект е до </w:t>
            </w:r>
            <w:r w:rsidR="00953810" w:rsidRPr="00CE1A1A">
              <w:rPr>
                <w:szCs w:val="24"/>
                <w:lang w:val="bg-BG"/>
              </w:rPr>
              <w:t>2</w:t>
            </w:r>
            <w:r w:rsidR="00A379EA" w:rsidRPr="00CE1A1A">
              <w:rPr>
                <w:szCs w:val="24"/>
                <w:lang w:val="bg-BG"/>
              </w:rPr>
              <w:t>00 000</w:t>
            </w:r>
            <w:r w:rsidRPr="00CE1A1A">
              <w:rPr>
                <w:szCs w:val="24"/>
                <w:lang w:val="bg-BG"/>
              </w:rPr>
              <w:t xml:space="preserve"> евро</w:t>
            </w:r>
            <w:r w:rsidR="00907900" w:rsidRPr="00CE1A1A">
              <w:rPr>
                <w:szCs w:val="24"/>
                <w:lang w:val="bg-BG"/>
              </w:rPr>
              <w:t xml:space="preserve"> </w:t>
            </w:r>
          </w:p>
          <w:p w:rsidR="00A379EA" w:rsidRDefault="00A379EA" w:rsidP="00907900">
            <w:pPr>
              <w:jc w:val="both"/>
              <w:rPr>
                <w:b/>
                <w:lang w:val="bg-BG"/>
              </w:rPr>
            </w:pPr>
          </w:p>
          <w:p w:rsidR="00A379EA" w:rsidRPr="00483ED4" w:rsidRDefault="00A379EA" w:rsidP="00A379EA">
            <w:pPr>
              <w:jc w:val="both"/>
              <w:rPr>
                <w:b/>
                <w:lang w:val="bg-BG"/>
              </w:rPr>
            </w:pPr>
            <w:r w:rsidRPr="00483ED4">
              <w:rPr>
                <w:b/>
                <w:lang w:val="bg-BG"/>
              </w:rPr>
              <w:t xml:space="preserve">В случай, на подкрепа за инвестиции в рамките на интервенцията за земеделски стопани попадащи в обхвата на допустимите за подкрепа по интервенция „Подпомагане развитието на малки земеделски стопанства“: </w:t>
            </w:r>
          </w:p>
          <w:p w:rsidR="00A379EA" w:rsidRPr="00CE1A1A" w:rsidRDefault="00A379EA" w:rsidP="00A379E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CE1A1A">
              <w:rPr>
                <w:lang w:val="bg-BG"/>
              </w:rPr>
              <w:t xml:space="preserve">Финансовата помощ е в размер до </w:t>
            </w:r>
            <w:r w:rsidRPr="00CE1A1A">
              <w:rPr>
                <w:lang w:val="en-US"/>
              </w:rPr>
              <w:t>50</w:t>
            </w:r>
            <w:r w:rsidRPr="00CE1A1A">
              <w:rPr>
                <w:lang w:val="bg-BG"/>
              </w:rPr>
              <w:t xml:space="preserve"> % от общия размер на допустимите за финансово подпомагане разходи;</w:t>
            </w:r>
          </w:p>
          <w:p w:rsidR="00A379EA" w:rsidRPr="00CE1A1A" w:rsidRDefault="00A379EA" w:rsidP="00A379E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szCs w:val="24"/>
                <w:lang w:val="bg-BG"/>
              </w:rPr>
            </w:pPr>
            <w:r w:rsidRPr="00CE1A1A">
              <w:rPr>
                <w:szCs w:val="24"/>
                <w:lang w:val="bg-BG"/>
              </w:rPr>
              <w:t xml:space="preserve">Минималният </w:t>
            </w:r>
            <w:r w:rsidRPr="00CE1A1A">
              <w:rPr>
                <w:lang w:val="bg-BG"/>
              </w:rPr>
              <w:t>размер</w:t>
            </w:r>
            <w:r w:rsidRPr="00CE1A1A">
              <w:rPr>
                <w:szCs w:val="24"/>
                <w:lang w:val="bg-BG"/>
              </w:rPr>
              <w:t xml:space="preserve"> на допустимите разходи за едно проектно предложение е</w:t>
            </w:r>
            <w:r w:rsidRPr="00CE1A1A">
              <w:rPr>
                <w:szCs w:val="24"/>
                <w:lang w:val="en-US"/>
              </w:rPr>
              <w:t xml:space="preserve"> 5 000</w:t>
            </w:r>
            <w:r w:rsidRPr="00CE1A1A">
              <w:rPr>
                <w:szCs w:val="24"/>
                <w:lang w:val="bg-BG"/>
              </w:rPr>
              <w:t xml:space="preserve"> евро.</w:t>
            </w:r>
          </w:p>
          <w:p w:rsidR="00A379EA" w:rsidRPr="00CE1A1A" w:rsidRDefault="00A379EA" w:rsidP="00A379E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szCs w:val="24"/>
                <w:lang w:val="bg-BG"/>
              </w:rPr>
            </w:pPr>
            <w:r w:rsidRPr="00CE1A1A">
              <w:rPr>
                <w:szCs w:val="24"/>
                <w:lang w:val="bg-BG"/>
              </w:rPr>
              <w:t xml:space="preserve">Максималният размер на допустимите разходи за един кандидат за периода на прилагане на интервенцията е до </w:t>
            </w:r>
            <w:r w:rsidRPr="00CE1A1A">
              <w:rPr>
                <w:szCs w:val="24"/>
                <w:lang w:val="en-US"/>
              </w:rPr>
              <w:t>25 000</w:t>
            </w:r>
            <w:r w:rsidRPr="00CE1A1A">
              <w:rPr>
                <w:szCs w:val="24"/>
                <w:lang w:val="bg-BG"/>
              </w:rPr>
              <w:t xml:space="preserve"> евро, а максималният размер на допустимите разходи за един проект е до </w:t>
            </w:r>
            <w:r w:rsidRPr="00CE1A1A">
              <w:rPr>
                <w:szCs w:val="24"/>
                <w:lang w:val="en-US"/>
              </w:rPr>
              <w:t>25 000</w:t>
            </w:r>
            <w:r w:rsidRPr="00CE1A1A">
              <w:rPr>
                <w:szCs w:val="24"/>
                <w:lang w:val="bg-BG"/>
              </w:rPr>
              <w:t xml:space="preserve"> евро.</w:t>
            </w:r>
          </w:p>
          <w:p w:rsidR="00A379EA" w:rsidRDefault="00A379EA" w:rsidP="00907900">
            <w:pPr>
              <w:jc w:val="both"/>
              <w:rPr>
                <w:b/>
                <w:lang w:val="bg-BG"/>
              </w:rPr>
            </w:pPr>
          </w:p>
          <w:p w:rsidR="00A379EA" w:rsidRDefault="00275697" w:rsidP="00907900">
            <w:pPr>
              <w:jc w:val="both"/>
              <w:rPr>
                <w:b/>
                <w:lang w:val="en-US"/>
              </w:rPr>
            </w:pPr>
            <w:r w:rsidRPr="00CE1A1A">
              <w:rPr>
                <w:b/>
                <w:lang w:val="bg-BG"/>
              </w:rPr>
              <w:t>Кандидатите допустими за подпомагане в рамките на интервенцията могат да получат до 20% от общия размер на допустимите за финансово подпомагане разходи</w:t>
            </w:r>
            <w:r w:rsidRPr="00CE1A1A">
              <w:rPr>
                <w:b/>
                <w:lang w:val="bg-BG"/>
              </w:rPr>
              <w:tab/>
              <w:t xml:space="preserve"> под формата на финансов инструмент.</w:t>
            </w:r>
          </w:p>
          <w:p w:rsidR="00CE1A1A" w:rsidRPr="00CE1A1A" w:rsidRDefault="00CE1A1A" w:rsidP="00907900">
            <w:pPr>
              <w:jc w:val="both"/>
              <w:rPr>
                <w:b/>
                <w:lang w:val="en-US"/>
              </w:rPr>
            </w:pPr>
          </w:p>
          <w:p w:rsidR="005F556B" w:rsidRPr="00907900" w:rsidRDefault="00907900" w:rsidP="00907900">
            <w:pPr>
              <w:jc w:val="both"/>
              <w:rPr>
                <w:b/>
                <w:lang w:val="bg-BG"/>
              </w:rPr>
            </w:pPr>
            <w:r w:rsidRPr="00907900">
              <w:rPr>
                <w:b/>
                <w:lang w:val="bg-BG"/>
              </w:rPr>
              <w:t>В рамките на интервенцията е допустимо предоставянето на авансова плащане, в размер до 50% от одобрените разходи.</w:t>
            </w:r>
          </w:p>
        </w:tc>
      </w:tr>
    </w:tbl>
    <w:p w:rsidR="005F556B" w:rsidRPr="00DC1DFA" w:rsidRDefault="005F556B" w:rsidP="005F556B">
      <w:pPr>
        <w:spacing w:line="240" w:lineRule="auto"/>
        <w:jc w:val="both"/>
        <w:rPr>
          <w:b/>
          <w:lang w:val="en-US"/>
        </w:rPr>
      </w:pPr>
      <w:bookmarkStart w:id="0" w:name="_GoBack"/>
      <w:bookmarkEnd w:id="0"/>
    </w:p>
    <w:sectPr w:rsidR="005F556B" w:rsidRPr="00DC1DFA" w:rsidSect="00D43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C2" w:rsidRDefault="00884FC2" w:rsidP="00C46DC8">
      <w:pPr>
        <w:spacing w:after="0" w:line="240" w:lineRule="auto"/>
      </w:pPr>
      <w:r>
        <w:separator/>
      </w:r>
    </w:p>
  </w:endnote>
  <w:endnote w:type="continuationSeparator" w:id="0">
    <w:p w:rsidR="00884FC2" w:rsidRDefault="00884FC2" w:rsidP="00C4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C8" w:rsidRDefault="00C46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C8" w:rsidRDefault="00C46D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C8" w:rsidRDefault="00C46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C2" w:rsidRDefault="00884FC2" w:rsidP="00C46DC8">
      <w:pPr>
        <w:spacing w:after="0" w:line="240" w:lineRule="auto"/>
      </w:pPr>
      <w:r>
        <w:separator/>
      </w:r>
    </w:p>
  </w:footnote>
  <w:footnote w:type="continuationSeparator" w:id="0">
    <w:p w:rsidR="00884FC2" w:rsidRDefault="00884FC2" w:rsidP="00C4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C8" w:rsidRDefault="00884F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076998" o:spid="_x0000_s2050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C8" w:rsidRDefault="00884F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076999" o:spid="_x0000_s2051" type="#_x0000_t136" style="position:absolute;margin-left:0;margin-top:0;width:424.2pt;height:212.1pt;rotation:315;z-index:-251653120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C8" w:rsidRDefault="00884F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076997" o:spid="_x0000_s2049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A68"/>
    <w:multiLevelType w:val="hybridMultilevel"/>
    <w:tmpl w:val="BAC0E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A70"/>
    <w:multiLevelType w:val="hybridMultilevel"/>
    <w:tmpl w:val="92868F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435A0"/>
    <w:multiLevelType w:val="hybridMultilevel"/>
    <w:tmpl w:val="C750E7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77CFA"/>
    <w:multiLevelType w:val="hybridMultilevel"/>
    <w:tmpl w:val="B0543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11C7"/>
    <w:multiLevelType w:val="hybridMultilevel"/>
    <w:tmpl w:val="6504B7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47D93"/>
    <w:multiLevelType w:val="multilevel"/>
    <w:tmpl w:val="E27C4F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C2077"/>
    <w:multiLevelType w:val="hybridMultilevel"/>
    <w:tmpl w:val="7EE22D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D5A33"/>
    <w:multiLevelType w:val="hybridMultilevel"/>
    <w:tmpl w:val="CB7847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0343D"/>
    <w:multiLevelType w:val="hybridMultilevel"/>
    <w:tmpl w:val="49DE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F0B1C"/>
    <w:multiLevelType w:val="hybridMultilevel"/>
    <w:tmpl w:val="A7FE68B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4F590F"/>
    <w:multiLevelType w:val="hybridMultilevel"/>
    <w:tmpl w:val="C5609E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96A98"/>
    <w:multiLevelType w:val="hybridMultilevel"/>
    <w:tmpl w:val="391A0F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4533B"/>
    <w:multiLevelType w:val="hybridMultilevel"/>
    <w:tmpl w:val="997EDF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54F4293"/>
    <w:multiLevelType w:val="hybridMultilevel"/>
    <w:tmpl w:val="FAE6C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14733"/>
    <w:multiLevelType w:val="hybridMultilevel"/>
    <w:tmpl w:val="56821C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D1D22"/>
    <w:multiLevelType w:val="hybridMultilevel"/>
    <w:tmpl w:val="F1085F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E600C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3"/>
  </w:num>
  <w:num w:numId="5">
    <w:abstractNumId w:val="5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  <w:num w:numId="14">
    <w:abstractNumId w:val="1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E6"/>
    <w:rsid w:val="00021763"/>
    <w:rsid w:val="00027128"/>
    <w:rsid w:val="00034802"/>
    <w:rsid w:val="00040597"/>
    <w:rsid w:val="00072CAF"/>
    <w:rsid w:val="00083B60"/>
    <w:rsid w:val="0009266A"/>
    <w:rsid w:val="000A2E65"/>
    <w:rsid w:val="000A34EB"/>
    <w:rsid w:val="000B6847"/>
    <w:rsid w:val="000F1A1A"/>
    <w:rsid w:val="001038FA"/>
    <w:rsid w:val="00104852"/>
    <w:rsid w:val="0011493F"/>
    <w:rsid w:val="00130A1B"/>
    <w:rsid w:val="00166843"/>
    <w:rsid w:val="001759E6"/>
    <w:rsid w:val="00184905"/>
    <w:rsid w:val="001915F7"/>
    <w:rsid w:val="001C066B"/>
    <w:rsid w:val="001C73C8"/>
    <w:rsid w:val="001D2848"/>
    <w:rsid w:val="001F1246"/>
    <w:rsid w:val="001F3756"/>
    <w:rsid w:val="00201431"/>
    <w:rsid w:val="00216D60"/>
    <w:rsid w:val="00233E80"/>
    <w:rsid w:val="0024729F"/>
    <w:rsid w:val="00252CFE"/>
    <w:rsid w:val="00275697"/>
    <w:rsid w:val="00283020"/>
    <w:rsid w:val="00284BE0"/>
    <w:rsid w:val="00295C3C"/>
    <w:rsid w:val="002A248F"/>
    <w:rsid w:val="002C008E"/>
    <w:rsid w:val="002C3009"/>
    <w:rsid w:val="002C6816"/>
    <w:rsid w:val="002D46FE"/>
    <w:rsid w:val="002D58AD"/>
    <w:rsid w:val="002E22B5"/>
    <w:rsid w:val="002E576B"/>
    <w:rsid w:val="00321CA0"/>
    <w:rsid w:val="00323875"/>
    <w:rsid w:val="00323C4C"/>
    <w:rsid w:val="003A64ED"/>
    <w:rsid w:val="003A6CE6"/>
    <w:rsid w:val="003B2B39"/>
    <w:rsid w:val="003C5D17"/>
    <w:rsid w:val="003D51F8"/>
    <w:rsid w:val="003F2F4E"/>
    <w:rsid w:val="00413957"/>
    <w:rsid w:val="00431386"/>
    <w:rsid w:val="00440223"/>
    <w:rsid w:val="004440A6"/>
    <w:rsid w:val="0046113A"/>
    <w:rsid w:val="00465D61"/>
    <w:rsid w:val="00496303"/>
    <w:rsid w:val="004A1C67"/>
    <w:rsid w:val="004A3274"/>
    <w:rsid w:val="004B5C67"/>
    <w:rsid w:val="004D3DB1"/>
    <w:rsid w:val="004D47EE"/>
    <w:rsid w:val="004D583C"/>
    <w:rsid w:val="004E0ECD"/>
    <w:rsid w:val="004F32B8"/>
    <w:rsid w:val="00504EA5"/>
    <w:rsid w:val="00530030"/>
    <w:rsid w:val="00551F8B"/>
    <w:rsid w:val="00567D49"/>
    <w:rsid w:val="005774EB"/>
    <w:rsid w:val="0059155A"/>
    <w:rsid w:val="005B6853"/>
    <w:rsid w:val="005D7AD4"/>
    <w:rsid w:val="005E111D"/>
    <w:rsid w:val="005F556B"/>
    <w:rsid w:val="005F6993"/>
    <w:rsid w:val="0060086E"/>
    <w:rsid w:val="0060266A"/>
    <w:rsid w:val="00604643"/>
    <w:rsid w:val="006116AD"/>
    <w:rsid w:val="0065280E"/>
    <w:rsid w:val="006704CF"/>
    <w:rsid w:val="00670FD4"/>
    <w:rsid w:val="00681B6D"/>
    <w:rsid w:val="00693CFD"/>
    <w:rsid w:val="00697A39"/>
    <w:rsid w:val="006C051B"/>
    <w:rsid w:val="006D2D77"/>
    <w:rsid w:val="006E005F"/>
    <w:rsid w:val="006E2C6A"/>
    <w:rsid w:val="006E54DC"/>
    <w:rsid w:val="006F5D0F"/>
    <w:rsid w:val="00715809"/>
    <w:rsid w:val="007250F6"/>
    <w:rsid w:val="007509FC"/>
    <w:rsid w:val="00772B90"/>
    <w:rsid w:val="00781CC8"/>
    <w:rsid w:val="00795020"/>
    <w:rsid w:val="007A75A3"/>
    <w:rsid w:val="007D5998"/>
    <w:rsid w:val="007F6563"/>
    <w:rsid w:val="00816DB9"/>
    <w:rsid w:val="00854F23"/>
    <w:rsid w:val="00884FC2"/>
    <w:rsid w:val="00890974"/>
    <w:rsid w:val="008A7C31"/>
    <w:rsid w:val="008C110F"/>
    <w:rsid w:val="008C4658"/>
    <w:rsid w:val="008F05DA"/>
    <w:rsid w:val="00907900"/>
    <w:rsid w:val="0091452D"/>
    <w:rsid w:val="00926D1D"/>
    <w:rsid w:val="00927421"/>
    <w:rsid w:val="00935872"/>
    <w:rsid w:val="00941407"/>
    <w:rsid w:val="00950149"/>
    <w:rsid w:val="00950EC5"/>
    <w:rsid w:val="00953810"/>
    <w:rsid w:val="00964501"/>
    <w:rsid w:val="00975A3A"/>
    <w:rsid w:val="00990965"/>
    <w:rsid w:val="009B2ED1"/>
    <w:rsid w:val="009B4D6D"/>
    <w:rsid w:val="009E4383"/>
    <w:rsid w:val="00A117A6"/>
    <w:rsid w:val="00A20F14"/>
    <w:rsid w:val="00A379EA"/>
    <w:rsid w:val="00A4061C"/>
    <w:rsid w:val="00A43110"/>
    <w:rsid w:val="00A65563"/>
    <w:rsid w:val="00A730AE"/>
    <w:rsid w:val="00A7344D"/>
    <w:rsid w:val="00AA069F"/>
    <w:rsid w:val="00B04758"/>
    <w:rsid w:val="00B16744"/>
    <w:rsid w:val="00B22248"/>
    <w:rsid w:val="00B3404F"/>
    <w:rsid w:val="00B5037D"/>
    <w:rsid w:val="00B92EB3"/>
    <w:rsid w:val="00B93A3D"/>
    <w:rsid w:val="00BA5261"/>
    <w:rsid w:val="00BA7AB4"/>
    <w:rsid w:val="00BC2D56"/>
    <w:rsid w:val="00BD6438"/>
    <w:rsid w:val="00BE7E72"/>
    <w:rsid w:val="00C028D0"/>
    <w:rsid w:val="00C07FFB"/>
    <w:rsid w:val="00C36BCC"/>
    <w:rsid w:val="00C439ED"/>
    <w:rsid w:val="00C46DC8"/>
    <w:rsid w:val="00C70B51"/>
    <w:rsid w:val="00C948C0"/>
    <w:rsid w:val="00C976BE"/>
    <w:rsid w:val="00CA5A7B"/>
    <w:rsid w:val="00CC2A84"/>
    <w:rsid w:val="00CE1A1A"/>
    <w:rsid w:val="00CE2373"/>
    <w:rsid w:val="00D07A17"/>
    <w:rsid w:val="00D143B5"/>
    <w:rsid w:val="00D15C9E"/>
    <w:rsid w:val="00D219E2"/>
    <w:rsid w:val="00D43F1C"/>
    <w:rsid w:val="00D92818"/>
    <w:rsid w:val="00DA7753"/>
    <w:rsid w:val="00DB1959"/>
    <w:rsid w:val="00DB42EB"/>
    <w:rsid w:val="00DB4F93"/>
    <w:rsid w:val="00DC08EE"/>
    <w:rsid w:val="00DC1DFA"/>
    <w:rsid w:val="00DC3CB3"/>
    <w:rsid w:val="00DC710F"/>
    <w:rsid w:val="00DC79AA"/>
    <w:rsid w:val="00DD2EB7"/>
    <w:rsid w:val="00DE6D78"/>
    <w:rsid w:val="00DE7C1B"/>
    <w:rsid w:val="00E1551E"/>
    <w:rsid w:val="00E15F3A"/>
    <w:rsid w:val="00E53C53"/>
    <w:rsid w:val="00E62265"/>
    <w:rsid w:val="00E63F65"/>
    <w:rsid w:val="00E76E03"/>
    <w:rsid w:val="00E869B8"/>
    <w:rsid w:val="00EA202D"/>
    <w:rsid w:val="00EA6B92"/>
    <w:rsid w:val="00EB3340"/>
    <w:rsid w:val="00EC2886"/>
    <w:rsid w:val="00ED44DC"/>
    <w:rsid w:val="00EF0963"/>
    <w:rsid w:val="00F02E55"/>
    <w:rsid w:val="00F12116"/>
    <w:rsid w:val="00F22043"/>
    <w:rsid w:val="00F27DB9"/>
    <w:rsid w:val="00F60A18"/>
    <w:rsid w:val="00F61020"/>
    <w:rsid w:val="00F6215E"/>
    <w:rsid w:val="00F63605"/>
    <w:rsid w:val="00F846BE"/>
    <w:rsid w:val="00F87784"/>
    <w:rsid w:val="00FB5FC5"/>
    <w:rsid w:val="00FC0440"/>
    <w:rsid w:val="00F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ttre d'introduction,List Paragraph1,1st level - Bullet List Paragraph,Table of contents numbered,Bullet Points,Liste Paragraf,Llista Nivell1,Lista de nivel 1,Paragraphe de liste PBLH,En tête 1,List Paragraph in table,Akapit z listą"/>
    <w:basedOn w:val="Normal"/>
    <w:link w:val="ListParagraphChar"/>
    <w:uiPriority w:val="34"/>
    <w:qFormat/>
    <w:rsid w:val="00BC2D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7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28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3B2B39"/>
  </w:style>
  <w:style w:type="character" w:customStyle="1" w:styleId="ListParagraphChar">
    <w:name w:val="List Paragraph Char"/>
    <w:aliases w:val="Lettre d'introduction Char,List Paragraph1 Char,1st level - Bullet List Paragraph Char,Table of contents numbered Char,Bullet Points Char,Liste Paragraf Char,Llista Nivell1 Char,Lista de nivel 1 Char,Paragraphe de liste PBLH Char"/>
    <w:link w:val="ListParagraph"/>
    <w:uiPriority w:val="34"/>
    <w:qFormat/>
    <w:rsid w:val="009B2ED1"/>
  </w:style>
  <w:style w:type="paragraph" w:styleId="Header">
    <w:name w:val="header"/>
    <w:basedOn w:val="Normal"/>
    <w:link w:val="HeaderChar"/>
    <w:uiPriority w:val="99"/>
    <w:unhideWhenUsed/>
    <w:rsid w:val="00C4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DC8"/>
  </w:style>
  <w:style w:type="paragraph" w:styleId="Footer">
    <w:name w:val="footer"/>
    <w:basedOn w:val="Normal"/>
    <w:link w:val="FooterChar"/>
    <w:uiPriority w:val="99"/>
    <w:unhideWhenUsed/>
    <w:rsid w:val="00C4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ttre d'introduction,List Paragraph1,1st level - Bullet List Paragraph,Table of contents numbered,Bullet Points,Liste Paragraf,Llista Nivell1,Lista de nivel 1,Paragraphe de liste PBLH,En tête 1,List Paragraph in table,Akapit z listą"/>
    <w:basedOn w:val="Normal"/>
    <w:link w:val="ListParagraphChar"/>
    <w:uiPriority w:val="34"/>
    <w:qFormat/>
    <w:rsid w:val="00BC2D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7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28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3B2B39"/>
  </w:style>
  <w:style w:type="character" w:customStyle="1" w:styleId="ListParagraphChar">
    <w:name w:val="List Paragraph Char"/>
    <w:aliases w:val="Lettre d'introduction Char,List Paragraph1 Char,1st level - Bullet List Paragraph Char,Table of contents numbered Char,Bullet Points Char,Liste Paragraf Char,Llista Nivell1 Char,Lista de nivel 1 Char,Paragraphe de liste PBLH Char"/>
    <w:link w:val="ListParagraph"/>
    <w:uiPriority w:val="34"/>
    <w:qFormat/>
    <w:rsid w:val="009B2ED1"/>
  </w:style>
  <w:style w:type="paragraph" w:styleId="Header">
    <w:name w:val="header"/>
    <w:basedOn w:val="Normal"/>
    <w:link w:val="HeaderChar"/>
    <w:uiPriority w:val="99"/>
    <w:unhideWhenUsed/>
    <w:rsid w:val="00C4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DC8"/>
  </w:style>
  <w:style w:type="paragraph" w:styleId="Footer">
    <w:name w:val="footer"/>
    <w:basedOn w:val="Normal"/>
    <w:link w:val="FooterChar"/>
    <w:uiPriority w:val="99"/>
    <w:unhideWhenUsed/>
    <w:rsid w:val="00C4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983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81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406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D225-4C30-460D-AB03-6AEC524F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Svetoslav Tsekov</dc:creator>
  <cp:lastModifiedBy>Vladislav E. Tsvetanov</cp:lastModifiedBy>
  <cp:revision>3</cp:revision>
  <cp:lastPrinted>2020-10-21T07:11:00Z</cp:lastPrinted>
  <dcterms:created xsi:type="dcterms:W3CDTF">2020-11-04T16:34:00Z</dcterms:created>
  <dcterms:modified xsi:type="dcterms:W3CDTF">2020-11-04T16:52:00Z</dcterms:modified>
</cp:coreProperties>
</file>